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7008C">
      <w:pPr>
        <w:pStyle w:val="7"/>
        <w:keepNext w:val="0"/>
        <w:keepLines w:val="0"/>
        <w:pageBreakBefore w:val="0"/>
        <w:widowControl/>
        <w:kinsoku/>
        <w:overflowPunct/>
        <w:topLinePunct w:val="0"/>
        <w:bidi w:val="0"/>
        <w:spacing w:line="360" w:lineRule="auto"/>
        <w:ind w:firstLine="880" w:firstLineChars="200"/>
        <w:textAlignment w:val="auto"/>
        <w:rPr>
          <w:rFonts w:hint="eastAsia"/>
          <w:highlight w:val="none"/>
          <w:lang w:val="en-US" w:eastAsia="zh-CN"/>
        </w:rPr>
      </w:pPr>
      <w:r>
        <w:rPr>
          <w:rFonts w:hint="eastAsia"/>
          <w:highlight w:val="none"/>
          <w:lang w:val="en-US" w:eastAsia="zh-CN"/>
        </w:rPr>
        <w:t>遂宁市安居区农村产业融合示范园区建设项目（一期）（道路及产业园基础设施建设）第一批/遂宁市安居区农村产业融合示范园区建设项目（一期）（道路及产业园基础设施建设）第二批/琼江流域农村公路及桥梁整治建设项目喷播植草工程专业分包</w:t>
      </w:r>
    </w:p>
    <w:p w14:paraId="42D272BD">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1D3F2DE7">
      <w:pPr>
        <w:pStyle w:val="4"/>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农村产业融合示范园区建设项目（一期）（道路及产业园基础设施建设）第一批/遂宁市安居区农村产业融合示范园区建设项目（一期）（道路及产业园基础设施建设）第二批/琼江流域农村公路及桥梁整治建设项目</w:t>
      </w:r>
      <w:r>
        <w:rPr>
          <w:color w:val="auto"/>
          <w:highlight w:val="none"/>
        </w:rPr>
        <w:t>，现根据施工需要，对本项目工程进行</w:t>
      </w:r>
      <w:r>
        <w:rPr>
          <w:rFonts w:hint="eastAsia"/>
          <w:b/>
          <w:bCs/>
          <w:color w:val="auto"/>
          <w:highlight w:val="none"/>
          <w:u w:val="single"/>
          <w:lang w:val="en-US" w:eastAsia="zh-CN"/>
        </w:rPr>
        <w:t>喷播植草工程专业</w:t>
      </w:r>
      <w:r>
        <w:rPr>
          <w:rFonts w:hint="eastAsia"/>
          <w:b/>
          <w:bCs/>
          <w:color w:val="auto"/>
          <w:highlight w:val="none"/>
          <w:u w:val="none"/>
          <w:lang w:val="en-US" w:eastAsia="zh-CN"/>
        </w:rPr>
        <w:t>分包</w:t>
      </w:r>
      <w:r>
        <w:rPr>
          <w:color w:val="auto"/>
          <w:highlight w:val="none"/>
        </w:rPr>
        <w:t>，</w:t>
      </w:r>
      <w:r>
        <w:rPr>
          <w:rFonts w:hint="eastAsia" w:ascii="宋体" w:hAnsi="宋体" w:cs="Times New Roman" w:eastAsiaTheme="minorEastAsia"/>
          <w:b w:val="0"/>
          <w:bCs/>
          <w:kern w:val="0"/>
          <w:sz w:val="24"/>
          <w:szCs w:val="24"/>
          <w:lang w:eastAsia="zh-CN"/>
        </w:rPr>
        <w:t>现诚邀</w:t>
      </w:r>
      <w:r>
        <w:rPr>
          <w:rFonts w:hint="eastAsia" w:ascii="宋体" w:hAnsi="宋体" w:cs="Times New Roman" w:eastAsiaTheme="minorEastAsia"/>
          <w:b w:val="0"/>
          <w:bCs/>
          <w:kern w:val="0"/>
          <w:sz w:val="24"/>
          <w:szCs w:val="24"/>
          <w:lang w:val="en-US" w:eastAsia="zh-CN"/>
        </w:rPr>
        <w:t>各</w:t>
      </w:r>
      <w:r>
        <w:rPr>
          <w:rFonts w:hint="eastAsia" w:ascii="宋体" w:hAnsi="宋体" w:cs="Times New Roman" w:eastAsiaTheme="minorEastAsia"/>
          <w:b w:val="0"/>
          <w:bCs/>
          <w:kern w:val="0"/>
          <w:sz w:val="24"/>
          <w:szCs w:val="24"/>
          <w:lang w:eastAsia="zh-CN"/>
        </w:rPr>
        <w:t>单</w:t>
      </w:r>
      <w:r>
        <w:rPr>
          <w:rFonts w:hint="eastAsia" w:ascii="宋体" w:hAnsi="宋体" w:cs="Times New Roman" w:eastAsiaTheme="minorEastAsia"/>
          <w:b w:val="0"/>
          <w:bCs/>
          <w:kern w:val="0"/>
          <w:sz w:val="24"/>
          <w:szCs w:val="24"/>
          <w:lang w:val="en-US" w:eastAsia="zh-CN"/>
        </w:rPr>
        <w:t>位进行报价，具体要求及报价表格式如下：</w:t>
      </w:r>
    </w:p>
    <w:p w14:paraId="2FE53B39">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3478C931">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p>
    <w:p w14:paraId="2E98EFE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遂宁市安居区农村产业融合示范园区建设项目（一期）（道路及产业园基础设施建设）第一批</w:t>
      </w:r>
      <w:r>
        <w:rPr>
          <w:rFonts w:hint="eastAsia" w:cs="Times New Roman"/>
          <w:kern w:val="0"/>
          <w:sz w:val="24"/>
          <w:highlight w:val="none"/>
          <w:lang w:val="en-US" w:eastAsia="zh-CN" w:bidi="ar-SA"/>
        </w:rPr>
        <w:t>：</w:t>
      </w:r>
      <w:r>
        <w:rPr>
          <w:rFonts w:hint="eastAsia" w:ascii="Times New Roman" w:hAnsi="Times New Roman" w:eastAsia="宋体" w:cs="Times New Roman"/>
          <w:kern w:val="0"/>
          <w:sz w:val="24"/>
          <w:highlight w:val="none"/>
          <w:lang w:val="en-US" w:eastAsia="zh-CN" w:bidi="ar-SA"/>
        </w:rPr>
        <w:t>安居区QC02安居至潼南崇龛界公路段（大安段）</w:t>
      </w:r>
      <w:r>
        <w:rPr>
          <w:rFonts w:hint="eastAsia" w:cs="Times New Roman"/>
          <w:kern w:val="0"/>
          <w:sz w:val="24"/>
          <w:highlight w:val="none"/>
          <w:lang w:val="en-US" w:eastAsia="zh-CN" w:bidi="ar-SA"/>
        </w:rPr>
        <w:t>；</w:t>
      </w:r>
    </w:p>
    <w:p w14:paraId="1F3C369C">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color w:val="auto"/>
          <w:kern w:val="2"/>
          <w:sz w:val="24"/>
          <w:highlight w:val="none"/>
          <w:lang w:val="en-US" w:eastAsia="zh-CN" w:bidi="ar-SA"/>
        </w:rPr>
        <w:t>遂宁市安居区农村产业融合示范园区建设项目（一期）（道路及产业园基础设施建设）第二批</w:t>
      </w:r>
      <w:r>
        <w:rPr>
          <w:rFonts w:hint="eastAsia" w:cs="Times New Roman"/>
          <w:color w:val="auto"/>
          <w:kern w:val="2"/>
          <w:sz w:val="24"/>
          <w:highlight w:val="none"/>
          <w:lang w:val="en-US" w:eastAsia="zh-CN" w:bidi="ar-SA"/>
        </w:rPr>
        <w:t>：</w:t>
      </w:r>
      <w:r>
        <w:rPr>
          <w:rFonts w:hint="eastAsia" w:ascii="Times New Roman" w:hAnsi="Times New Roman" w:eastAsia="宋体" w:cs="Times New Roman"/>
          <w:color w:val="auto"/>
          <w:kern w:val="2"/>
          <w:sz w:val="24"/>
          <w:highlight w:val="none"/>
          <w:lang w:val="en-US" w:eastAsia="zh-CN" w:bidi="ar-SA"/>
        </w:rPr>
        <w:t>安居区QC02安居至潼南崇龛界公路（安居至三家段）</w:t>
      </w:r>
      <w:r>
        <w:rPr>
          <w:rFonts w:hint="eastAsia" w:cs="Times New Roman"/>
          <w:color w:val="auto"/>
          <w:kern w:val="2"/>
          <w:sz w:val="24"/>
          <w:highlight w:val="none"/>
          <w:lang w:val="en-US" w:eastAsia="zh-CN" w:bidi="ar-SA"/>
        </w:rPr>
        <w:t>，安居区Y260永宁村至猛虎村段幸福美丽乡村路；</w:t>
      </w:r>
    </w:p>
    <w:p w14:paraId="489F3E93">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color w:val="auto"/>
          <w:kern w:val="2"/>
          <w:sz w:val="24"/>
          <w:highlight w:val="none"/>
          <w:lang w:val="en-US" w:eastAsia="zh-CN" w:bidi="ar-SA"/>
        </w:rPr>
        <w:t>琼江流域农村公路建设桥梁建设项目</w:t>
      </w:r>
      <w:r>
        <w:rPr>
          <w:rFonts w:hint="eastAsia" w:cs="Times New Roman"/>
          <w:color w:val="auto"/>
          <w:kern w:val="2"/>
          <w:sz w:val="24"/>
          <w:highlight w:val="none"/>
          <w:lang w:val="en-US" w:eastAsia="zh-CN" w:bidi="ar-SA"/>
        </w:rPr>
        <w:t>：老鹰岩大桥危病桥改建工程绿化专业分包。</w:t>
      </w:r>
    </w:p>
    <w:p w14:paraId="0F38F45A">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cs="Times New Roman"/>
          <w:color w:val="auto"/>
          <w:kern w:val="0"/>
          <w:sz w:val="24"/>
          <w:highlight w:val="none"/>
          <w:lang w:val="en-US" w:eastAsia="zh-CN"/>
        </w:rPr>
        <w:t>招标范围：</w:t>
      </w:r>
      <w:r>
        <w:rPr>
          <w:rFonts w:hint="eastAsia" w:cs="Times New Roman"/>
          <w:color w:val="auto"/>
          <w:kern w:val="2"/>
          <w:sz w:val="24"/>
          <w:highlight w:val="none"/>
          <w:lang w:val="en-US" w:eastAsia="zh-CN" w:bidi="ar-SA"/>
        </w:rPr>
        <w:t>喷播植草工程全部内容，</w:t>
      </w:r>
      <w:r>
        <w:rPr>
          <w:rFonts w:hint="eastAsia" w:ascii="Times New Roman" w:hAnsi="Times New Roman" w:eastAsia="宋体" w:cs="Times New Roman"/>
          <w:color w:val="auto"/>
          <w:kern w:val="2"/>
          <w:sz w:val="24"/>
          <w:highlight w:val="none"/>
          <w:lang w:val="en-US" w:eastAsia="zh-CN" w:bidi="ar-SA"/>
        </w:rPr>
        <w:t>具体内容详招标清单及图纸。</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60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0" w:leftChars="0" w:firstLine="480" w:firstLineChars="200"/>
        <w:jc w:val="left"/>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lang w:eastAsia="zh-CN"/>
        </w:rPr>
      </w:pPr>
      <w:r>
        <w:rPr>
          <w:rFonts w:hint="eastAsia" w:ascii="宋体" w:hAnsi="宋体" w:cs="Times New Roman" w:eastAsiaTheme="minorEastAsia"/>
          <w:b w:val="0"/>
          <w:bCs/>
          <w:kern w:val="0"/>
          <w:sz w:val="24"/>
          <w:szCs w:val="24"/>
          <w:lang w:eastAsia="zh-CN"/>
        </w:rPr>
        <w:t>投标人须具备独立企业法人资格。（不接受自然人参与本项目投标）</w:t>
      </w:r>
    </w:p>
    <w:p w14:paraId="27F95802">
      <w:pPr>
        <w:pStyle w:val="4"/>
        <w:keepNext w:val="0"/>
        <w:keepLines w:val="0"/>
        <w:pageBreakBefore w:val="0"/>
        <w:widowControl/>
        <w:numPr>
          <w:ilvl w:val="0"/>
          <w:numId w:val="5"/>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lang w:eastAsia="zh-CN"/>
        </w:rPr>
        <w:t>具备建设行政主管部门核发的</w:t>
      </w:r>
      <w:r>
        <w:rPr>
          <w:rFonts w:hint="eastAsia" w:ascii="宋体" w:hAnsi="宋体" w:cs="Times New Roman" w:eastAsiaTheme="minorEastAsia"/>
          <w:b w:val="0"/>
          <w:bCs/>
          <w:kern w:val="0"/>
          <w:sz w:val="24"/>
          <w:szCs w:val="24"/>
          <w:highlight w:val="none"/>
          <w:lang w:val="en-US" w:eastAsia="zh-CN"/>
        </w:rPr>
        <w:t>市政公用工程施工总承包三级及以上资质（含绿化工程）或者公路工程施工总承包三级及以上资质</w:t>
      </w:r>
      <w:r>
        <w:rPr>
          <w:rFonts w:hint="eastAsia" w:ascii="宋体" w:hAnsi="宋体" w:cs="Times New Roman" w:eastAsiaTheme="minorEastAsia"/>
          <w:b w:val="0"/>
          <w:bCs/>
          <w:kern w:val="0"/>
          <w:sz w:val="24"/>
          <w:szCs w:val="24"/>
          <w:lang w:eastAsia="zh-CN"/>
        </w:rPr>
        <w:t>，具备有效的安全生产许可证。</w:t>
      </w:r>
    </w:p>
    <w:p w14:paraId="75E43BA3">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具有市政/公路二级建造师或市政/公路施工员证书的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w:t>
      </w:r>
      <w:r>
        <w:rPr>
          <w:rFonts w:hint="eastAsia" w:ascii="宋体" w:hAnsi="宋体" w:cs="Times New Roman" w:eastAsiaTheme="minorEastAsia"/>
          <w:b w:val="0"/>
          <w:bCs/>
          <w:kern w:val="0"/>
          <w:sz w:val="24"/>
          <w:szCs w:val="24"/>
          <w:highlight w:val="none"/>
          <w:lang w:val="en-US" w:eastAsia="zh-CN"/>
        </w:rPr>
        <w:t>资料</w:t>
      </w:r>
      <w:r>
        <w:rPr>
          <w:rFonts w:hint="eastAsia" w:ascii="宋体" w:hAnsi="宋体" w:cs="Times New Roman" w:eastAsiaTheme="minorEastAsia"/>
          <w:b w:val="0"/>
          <w:bCs/>
          <w:kern w:val="0"/>
          <w:sz w:val="24"/>
          <w:szCs w:val="24"/>
          <w:highlight w:val="none"/>
          <w:lang w:eastAsia="zh-CN"/>
        </w:rPr>
        <w:t>管理人员不低于1人，</w:t>
      </w:r>
      <w:r>
        <w:rPr>
          <w:rFonts w:hint="eastAsia" w:ascii="宋体" w:hAnsi="宋体" w:cs="Times New Roman" w:eastAsiaTheme="minorEastAsia"/>
          <w:b w:val="0"/>
          <w:bCs/>
          <w:kern w:val="0"/>
          <w:sz w:val="24"/>
          <w:szCs w:val="24"/>
          <w:highlight w:val="none"/>
          <w:lang w:val="en-US" w:eastAsia="zh-CN"/>
        </w:rPr>
        <w:t>造价专员1名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材料员1名（资料员、造价专员、材料员三个岗位可一人兼2个岗位（最少2人），其他管理岗位不得兼职）需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numPr>
          <w:ilvl w:val="0"/>
          <w:numId w:val="4"/>
        </w:numPr>
        <w:kinsoku/>
        <w:overflowPunct/>
        <w:topLinePunct w:val="0"/>
        <w:bidi w:val="0"/>
        <w:spacing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06F7A6F2">
      <w:pPr>
        <w:pStyle w:val="4"/>
        <w:keepNext w:val="0"/>
        <w:keepLines w:val="0"/>
        <w:pageBreakBefore w:val="0"/>
        <w:kinsoku/>
        <w:overflowPunct/>
        <w:topLinePunct w:val="0"/>
        <w:bidi w:val="0"/>
        <w:spacing w:line="360" w:lineRule="auto"/>
        <w:ind w:firstLine="482" w:firstLineChars="200"/>
        <w:textAlignment w:val="auto"/>
        <w:rPr>
          <w:color w:val="auto"/>
          <w:highlight w:val="none"/>
        </w:rPr>
      </w:pPr>
      <w:r>
        <w:rPr>
          <w:rFonts w:hint="eastAsia" w:cs="Times New Roman"/>
          <w:b/>
          <w:bCs/>
          <w:color w:val="auto"/>
          <w:highlight w:val="none"/>
          <w:lang w:val="en-US" w:eastAsia="zh-CN"/>
        </w:rPr>
        <w:t>控制价为：</w:t>
      </w:r>
      <w:r>
        <w:rPr>
          <w:rFonts w:hint="eastAsia" w:ascii="宋体" w:hAnsi="宋体" w:cs="Times New Roman" w:eastAsiaTheme="minorEastAsia"/>
          <w:b/>
          <w:bCs/>
          <w:kern w:val="0"/>
          <w:sz w:val="24"/>
          <w:szCs w:val="24"/>
          <w:highlight w:val="none"/>
          <w:u w:val="single"/>
          <w:lang w:val="en-US" w:eastAsia="zh-CN"/>
        </w:rPr>
        <w:t>5599440.8元</w:t>
      </w:r>
      <w:r>
        <w:rPr>
          <w:rFonts w:hint="eastAsia" w:ascii="宋体" w:hAnsi="宋体" w:cs="Times New Roman" w:eastAsiaTheme="minorEastAsia"/>
          <w:b/>
          <w:bCs/>
          <w:kern w:val="0"/>
          <w:sz w:val="24"/>
          <w:szCs w:val="24"/>
          <w:highlight w:val="none"/>
          <w:lang w:val="en-US" w:eastAsia="zh-CN"/>
        </w:rPr>
        <w:t>(大写：伍佰伍拾玖万玖仟肆佰肆拾元捌角）</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以清单总价报下浮比例（详附件6）</w:t>
      </w:r>
      <w:r>
        <w:rPr>
          <w:rFonts w:hint="eastAsia" w:ascii="宋体" w:hAnsi="宋体" w:cs="Times New Roman" w:eastAsiaTheme="minorEastAsia"/>
          <w:b w:val="0"/>
          <w:bCs/>
          <w:kern w:val="0"/>
          <w:sz w:val="24"/>
          <w:szCs w:val="24"/>
          <w:highlight w:val="none"/>
          <w:lang w:val="en-US" w:eastAsia="zh-CN"/>
        </w:rPr>
        <w:t>。</w:t>
      </w:r>
      <w:r>
        <w:rPr>
          <w:rFonts w:hint="default" w:ascii="宋体" w:hAnsi="宋体" w:eastAsia="宋体" w:cs="宋体"/>
          <w:sz w:val="24"/>
          <w:szCs w:val="24"/>
          <w:highlight w:val="none"/>
          <w:lang w:val="en-US" w:eastAsia="zh-CN"/>
        </w:rPr>
        <w:t>总价下浮</w:t>
      </w:r>
      <w:r>
        <w:rPr>
          <w:rFonts w:hint="eastAsia" w:ascii="宋体" w:hAnsi="宋体" w:cs="宋体"/>
          <w:sz w:val="24"/>
          <w:szCs w:val="24"/>
          <w:highlight w:val="none"/>
          <w:lang w:val="en-US" w:eastAsia="zh-CN"/>
        </w:rPr>
        <w:t>12</w:t>
      </w:r>
      <w:r>
        <w:rPr>
          <w:rFonts w:hint="eastAsia" w:ascii="宋体" w:hAnsi="宋体" w:eastAsia="宋体" w:cs="宋体"/>
          <w:sz w:val="24"/>
          <w:szCs w:val="24"/>
          <w:highlight w:val="none"/>
          <w:lang w:val="en-US" w:eastAsia="zh-CN"/>
        </w:rPr>
        <w:t>%作为最高限价，下浮</w:t>
      </w:r>
      <w:r>
        <w:rPr>
          <w:rFonts w:hint="default" w:ascii="宋体" w:hAnsi="宋体" w:eastAsia="宋体" w:cs="宋体"/>
          <w:sz w:val="24"/>
          <w:szCs w:val="24"/>
          <w:highlight w:val="none"/>
          <w:lang w:val="en-US" w:eastAsia="zh-CN"/>
        </w:rPr>
        <w:t>比例最高的单位</w:t>
      </w:r>
      <w:r>
        <w:rPr>
          <w:rFonts w:hint="eastAsia" w:ascii="宋体" w:hAnsi="宋体" w:eastAsia="宋体" w:cs="宋体"/>
          <w:sz w:val="24"/>
          <w:szCs w:val="24"/>
          <w:highlight w:val="none"/>
          <w:lang w:val="en-US" w:eastAsia="zh-CN"/>
        </w:rPr>
        <w:t>中选，投标下浮率小于或等于</w:t>
      </w:r>
      <w:r>
        <w:rPr>
          <w:rFonts w:hint="eastAsia" w:ascii="宋体" w:hAnsi="宋体" w:cs="宋体"/>
          <w:sz w:val="24"/>
          <w:szCs w:val="24"/>
          <w:highlight w:val="none"/>
          <w:lang w:val="en-US" w:eastAsia="zh-CN"/>
        </w:rPr>
        <w:t>12</w:t>
      </w:r>
      <w:r>
        <w:rPr>
          <w:rFonts w:hint="eastAsia" w:ascii="宋体" w:hAnsi="宋体" w:eastAsia="宋体" w:cs="宋体"/>
          <w:sz w:val="24"/>
          <w:szCs w:val="24"/>
          <w:highlight w:val="none"/>
          <w:lang w:val="en-US" w:eastAsia="zh-CN"/>
        </w:rPr>
        <w:t>%视为废标</w:t>
      </w:r>
      <w:r>
        <w:rPr>
          <w:rFonts w:hint="eastAsia" w:ascii="宋体" w:hAnsi="宋体" w:cs="Times New Roman" w:eastAsiaTheme="minorEastAsia"/>
          <w:b w:val="0"/>
          <w:bCs/>
          <w:kern w:val="0"/>
          <w:sz w:val="24"/>
          <w:szCs w:val="24"/>
          <w:highlight w:val="none"/>
          <w:lang w:val="en-US" w:eastAsia="zh-CN"/>
        </w:rPr>
        <w:t>。</w:t>
      </w:r>
      <w:r>
        <w:rPr>
          <w:rFonts w:hint="eastAsia" w:ascii="宋体" w:hAnsi="宋体" w:cs="Times New Roman" w:eastAsiaTheme="minorEastAsia"/>
          <w:b w:val="0"/>
          <w:bCs/>
          <w:kern w:val="0"/>
          <w:sz w:val="24"/>
          <w:szCs w:val="24"/>
          <w:lang w:val="en-US" w:eastAsia="zh-CN"/>
        </w:rPr>
        <w:t>本次招标的分包单位需根据招标工作内容、工程清单及图纸自行考虑并报价，</w:t>
      </w:r>
      <w:r>
        <w:rPr>
          <w:rFonts w:hint="eastAsia" w:ascii="宋体" w:hAnsi="宋体" w:cs="Times New Roman" w:eastAsiaTheme="minorEastAsia"/>
          <w:b w:val="0"/>
          <w:bCs/>
          <w:kern w:val="0"/>
          <w:sz w:val="24"/>
          <w:szCs w:val="24"/>
          <w:highlight w:val="none"/>
          <w:lang w:val="en-US" w:eastAsia="zh-CN"/>
        </w:rPr>
        <w:t>最终工程结算以业主审定工程量*中标单价为准</w:t>
      </w:r>
      <w:r>
        <w:rPr>
          <w:rFonts w:hint="eastAsia" w:ascii="宋体" w:hAnsi="宋体" w:cs="Times New Roman" w:eastAsiaTheme="minorEastAsia"/>
          <w:b w:val="0"/>
          <w:bCs/>
          <w:kern w:val="0"/>
          <w:sz w:val="24"/>
          <w:szCs w:val="24"/>
          <w:highlight w:val="none"/>
          <w:lang w:eastAsia="zh-CN"/>
        </w:rPr>
        <w:t>。</w:t>
      </w:r>
    </w:p>
    <w:p w14:paraId="0FD7C800">
      <w:pPr>
        <w:pStyle w:val="4"/>
        <w:keepNext w:val="0"/>
        <w:keepLines w:val="0"/>
        <w:pageBreakBefore w:val="0"/>
        <w:widowControl w:val="0"/>
        <w:numPr>
          <w:ilvl w:val="0"/>
          <w:numId w:val="6"/>
        </w:numPr>
        <w:kinsoku/>
        <w:wordWrap/>
        <w:overflowPunct/>
        <w:topLinePunct w:val="0"/>
        <w:autoSpaceDE/>
        <w:autoSpaceDN/>
        <w:bidi w:val="0"/>
        <w:adjustRightInd/>
        <w:snapToGrid/>
        <w:spacing w:after="0" w:line="360" w:lineRule="auto"/>
        <w:ind w:left="0" w:leftChars="0" w:firstLine="482" w:firstLineChars="200"/>
        <w:textAlignment w:val="auto"/>
        <w:rPr>
          <w:rFonts w:hint="eastAsia" w:cs="Times New Roman"/>
          <w:b/>
          <w:bCs/>
          <w:color w:val="auto"/>
          <w:highlight w:val="none"/>
          <w:lang w:val="en-US" w:eastAsia="zh-CN"/>
        </w:rPr>
      </w:pPr>
      <w:r>
        <w:rPr>
          <w:rFonts w:hint="eastAsia" w:cs="Times New Roman"/>
          <w:b/>
          <w:bCs/>
          <w:color w:val="auto"/>
          <w:highlight w:val="none"/>
          <w:lang w:val="en-US" w:eastAsia="zh-CN"/>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rFonts w:hint="eastAsia" w:ascii="宋体" w:hAnsi="宋体" w:eastAsia="宋体" w:cs="宋体"/>
          <w:b/>
          <w:bCs/>
          <w:color w:val="auto"/>
          <w:kern w:val="0"/>
          <w:sz w:val="24"/>
          <w:szCs w:val="24"/>
          <w:highlight w:val="none"/>
          <w:u w:val="none"/>
          <w:shd w:val="clear" w:color="auto" w:fill="auto"/>
          <w:lang w:val="en-US" w:eastAsia="zh-CN"/>
        </w:rPr>
        <w:t>施工过程中新增、变更工程按业主或鹏安公司审定的已完成工程产值，再按鹏安公司控制价下浮率后的50%计入进度，随进度支付条款进行拨付，</w:t>
      </w:r>
      <w:r>
        <w:rPr>
          <w:b/>
          <w:bCs/>
          <w:color w:val="auto"/>
          <w:highlight w:val="none"/>
        </w:rPr>
        <w:t>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质保期为一年</w:t>
      </w:r>
      <w:r>
        <w:rPr>
          <w:rFonts w:hint="eastAsia" w:eastAsia="宋体"/>
          <w:b/>
          <w:bCs/>
          <w:color w:val="auto"/>
          <w:highlight w:val="none"/>
          <w:lang w:val="en-US" w:eastAsia="zh-CN"/>
        </w:rPr>
        <w:t>）</w:t>
      </w:r>
      <w:r>
        <w:rPr>
          <w:b/>
          <w:bCs/>
          <w:color w:val="auto"/>
          <w:highlight w:val="none"/>
        </w:rPr>
        <w:t>。</w:t>
      </w:r>
    </w:p>
    <w:p w14:paraId="6B327C1B">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00187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cs="Times New Roman"/>
          <w:color w:val="auto"/>
          <w:kern w:val="2"/>
          <w:sz w:val="24"/>
          <w:highlight w:val="none"/>
          <w:u w:val="none"/>
          <w:lang w:val="en-US" w:eastAsia="zh-CN" w:bidi="ar-SA"/>
        </w:rPr>
      </w:pPr>
      <w:r>
        <w:rPr>
          <w:rFonts w:hint="eastAsia" w:cs="Times New Roman"/>
          <w:color w:val="auto"/>
          <w:kern w:val="2"/>
          <w:sz w:val="24"/>
          <w:highlight w:val="none"/>
          <w:u w:val="none"/>
          <w:lang w:val="en-US" w:eastAsia="zh-CN" w:bidi="ar-SA"/>
        </w:rPr>
        <w:t>下浮比例最高</w:t>
      </w:r>
      <w:r>
        <w:rPr>
          <w:rFonts w:hint="default" w:ascii="Times New Roman" w:hAnsi="Times New Roman" w:eastAsia="宋体" w:cs="Times New Roman"/>
          <w:color w:val="auto"/>
          <w:kern w:val="2"/>
          <w:sz w:val="24"/>
          <w:highlight w:val="none"/>
          <w:u w:val="none"/>
          <w:lang w:val="en-US" w:eastAsia="zh-CN" w:bidi="ar-SA"/>
        </w:rPr>
        <w:t>的单位</w:t>
      </w:r>
      <w:r>
        <w:rPr>
          <w:rFonts w:hint="eastAsia" w:ascii="Times New Roman" w:hAnsi="Times New Roman" w:eastAsia="宋体" w:cs="Times New Roman"/>
          <w:color w:val="auto"/>
          <w:kern w:val="2"/>
          <w:sz w:val="24"/>
          <w:highlight w:val="none"/>
          <w:u w:val="none"/>
          <w:lang w:val="en-US" w:eastAsia="zh-CN" w:bidi="ar-SA"/>
        </w:rPr>
        <w:t>中选</w:t>
      </w:r>
      <w:r>
        <w:rPr>
          <w:rFonts w:hint="default" w:ascii="Times New Roman" w:hAnsi="Times New Roman" w:eastAsia="宋体" w:cs="Times New Roman"/>
          <w:color w:val="auto"/>
          <w:kern w:val="2"/>
          <w:sz w:val="24"/>
          <w:highlight w:val="none"/>
          <w:u w:val="none"/>
          <w:lang w:val="en-US" w:eastAsia="zh-CN" w:bidi="ar-SA"/>
        </w:rPr>
        <w:t>，</w:t>
      </w:r>
      <w:r>
        <w:rPr>
          <w:rFonts w:hint="eastAsia" w:ascii="Times New Roman" w:hAnsi="Times New Roman" w:eastAsia="宋体" w:cs="Times New Roman"/>
          <w:color w:val="auto"/>
          <w:kern w:val="2"/>
          <w:sz w:val="24"/>
          <w:highlight w:val="none"/>
          <w:u w:val="none"/>
          <w:lang w:val="en-US" w:eastAsia="zh-CN" w:bidi="ar-SA"/>
        </w:rPr>
        <w:t>超过控制价视为无效报价</w:t>
      </w:r>
      <w:r>
        <w:rPr>
          <w:rFonts w:hint="eastAsia" w:ascii="Times New Roman" w:hAnsi="Times New Roman" w:cs="Times New Roman"/>
          <w:color w:val="auto"/>
          <w:kern w:val="2"/>
          <w:sz w:val="24"/>
          <w:highlight w:val="none"/>
          <w:u w:val="none"/>
          <w:lang w:val="en-US" w:eastAsia="zh-CN" w:bidi="ar-SA"/>
        </w:rPr>
        <w:t>。（若出现两家及以上单位报价相同则采取抽乒乓球方式确定中选单位，抽取方式：在密闭箱内放入与参与抽取的比选申请人相同数量的乒乓球，且乒乓球在密闭箱中抓取号球，由抽到号球1的单位中选。</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lang w:val="en-US" w:eastAsia="zh-CN"/>
        </w:rPr>
      </w:pPr>
      <w:r>
        <w:rPr>
          <w:rFonts w:hint="eastAsia" w:ascii="宋体" w:hAnsi="宋体" w:cs="Times New Roman" w:eastAsiaTheme="minorEastAsia"/>
          <w:b/>
          <w:bCs w:val="0"/>
          <w:kern w:val="0"/>
          <w:sz w:val="24"/>
          <w:szCs w:val="24"/>
          <w:lang w:val="en-US" w:eastAsia="zh-CN"/>
        </w:rPr>
        <w:t>5.定标：</w:t>
      </w:r>
    </w:p>
    <w:p w14:paraId="3EFCBC47">
      <w:pPr>
        <w:widowControl/>
        <w:numPr>
          <w:ilvl w:val="0"/>
          <w:numId w:val="7"/>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w:t>
      </w:r>
      <w:r>
        <w:rPr>
          <w:rFonts w:hint="eastAsia" w:cs="Times New Roman"/>
          <w:color w:val="auto"/>
          <w:kern w:val="2"/>
          <w:sz w:val="24"/>
          <w:highlight w:val="none"/>
          <w:u w:val="none"/>
          <w:lang w:val="en-US" w:eastAsia="zh-CN" w:bidi="ar-SA"/>
        </w:rPr>
        <w:t>下浮比例最高</w:t>
      </w:r>
      <w:r>
        <w:rPr>
          <w:rFonts w:hint="eastAsia" w:ascii="Times New Roman" w:hAnsi="Times New Roman" w:eastAsia="宋体" w:cs="Times New Roman"/>
          <w:color w:val="auto"/>
          <w:kern w:val="2"/>
          <w:sz w:val="24"/>
          <w:highlight w:val="none"/>
          <w:u w:val="none"/>
          <w:lang w:val="en-US" w:eastAsia="zh-CN" w:bidi="ar-SA"/>
        </w:rPr>
        <w:t>的单位确定为</w:t>
      </w:r>
      <w:r>
        <w:rPr>
          <w:rFonts w:hint="eastAsia" w:ascii="宋体" w:hAnsi="宋体" w:cs="Times New Roman" w:eastAsiaTheme="minorEastAsia"/>
          <w:b w:val="0"/>
          <w:bCs/>
          <w:kern w:val="0"/>
          <w:sz w:val="24"/>
          <w:szCs w:val="24"/>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2540BE72">
      <w:pPr>
        <w:widowControl/>
        <w:numPr>
          <w:ilvl w:val="0"/>
          <w:numId w:val="7"/>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50B6926B">
      <w:pPr>
        <w:widowControl/>
        <w:numPr>
          <w:ilvl w:val="0"/>
          <w:numId w:val="7"/>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各投标单位须在2025年12月18日17时前向鹏安公司</w:t>
      </w:r>
      <w:r>
        <w:rPr>
          <w:rFonts w:hint="eastAsia" w:ascii="宋体" w:hAnsi="宋体" w:cs="Times New Roman" w:eastAsiaTheme="minorEastAsia"/>
          <w:b/>
          <w:bCs w:val="0"/>
          <w:kern w:val="0"/>
          <w:sz w:val="24"/>
          <w:szCs w:val="24"/>
          <w:highlight w:val="none"/>
          <w:lang w:val="en-US" w:eastAsia="zh-CN"/>
        </w:rPr>
        <w:t>缴纳投标保证金，金额为5000元（具体详附件5，并提供转款凭证）</w:t>
      </w:r>
      <w:r>
        <w:rPr>
          <w:rFonts w:hint="eastAsia" w:ascii="宋体" w:hAnsi="宋体" w:cs="Times New Roman" w:eastAsiaTheme="minorEastAsia"/>
          <w:b w:val="0"/>
          <w:bCs/>
          <w:kern w:val="0"/>
          <w:sz w:val="24"/>
          <w:szCs w:val="24"/>
          <w:highlight w:val="none"/>
          <w:lang w:val="en-US" w:eastAsia="zh-CN"/>
        </w:rPr>
        <w:t>，公示中标后未中标单位7个工作日内原路退回，中标单位签订合同后原路退回。</w:t>
      </w:r>
      <w:r>
        <w:rPr>
          <w:rFonts w:hint="eastAsia" w:ascii="宋体" w:hAnsi="宋体" w:cs="Times New Roman" w:eastAsiaTheme="minorEastAsia"/>
          <w:b/>
          <w:bCs w:val="0"/>
          <w:kern w:val="0"/>
          <w:sz w:val="24"/>
          <w:szCs w:val="24"/>
          <w:highlight w:val="none"/>
          <w:lang w:val="en-US" w:eastAsia="zh-CN"/>
        </w:rPr>
        <w:t>若中标单位提供虚假资料或因自身原因放弃中标资格的，保证金不予退还。</w:t>
      </w:r>
      <w:r>
        <w:rPr>
          <w:rFonts w:hint="eastAsia" w:ascii="宋体" w:hAnsi="宋体" w:cs="Times New Roman" w:eastAsiaTheme="minorEastAsia"/>
          <w:b w:val="0"/>
          <w:bCs/>
          <w:kern w:val="0"/>
          <w:sz w:val="24"/>
          <w:szCs w:val="24"/>
          <w:highlight w:val="none"/>
          <w:lang w:val="en-US" w:eastAsia="zh-CN"/>
        </w:rPr>
        <w:t xml:space="preserve"> </w:t>
      </w:r>
      <w:r>
        <w:rPr>
          <w:rFonts w:hint="eastAsia" w:ascii="宋体" w:hAnsi="宋体" w:cs="Times New Roman" w:eastAsiaTheme="minorEastAsia"/>
          <w:b/>
          <w:bCs w:val="0"/>
          <w:kern w:val="0"/>
          <w:sz w:val="24"/>
          <w:szCs w:val="24"/>
          <w:highlight w:val="none"/>
          <w:lang w:val="en-US" w:eastAsia="zh-CN"/>
        </w:rPr>
        <w:t xml:space="preserve">         </w:t>
      </w:r>
    </w:p>
    <w:p w14:paraId="4C9BF691">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Hans"/>
        </w:rPr>
        <w:t>收款账户</w:t>
      </w:r>
      <w:r>
        <w:rPr>
          <w:rFonts w:hint="eastAsia" w:ascii="宋体" w:hAnsi="宋体" w:eastAsia="宋体" w:cs="宋体"/>
          <w:b w:val="0"/>
          <w:bCs w:val="0"/>
          <w:color w:val="auto"/>
          <w:sz w:val="24"/>
          <w:szCs w:val="24"/>
          <w:highlight w:val="none"/>
          <w:lang w:val="en-US" w:eastAsia="zh-CN"/>
        </w:rPr>
        <w:t>户名：</w:t>
      </w:r>
      <w:r>
        <w:rPr>
          <w:rFonts w:hint="eastAsia" w:ascii="宋体" w:hAnsi="宋体" w:eastAsia="宋体" w:cs="宋体"/>
          <w:b w:val="0"/>
          <w:bCs w:val="0"/>
          <w:color w:val="auto"/>
          <w:sz w:val="24"/>
          <w:szCs w:val="24"/>
          <w:highlight w:val="none"/>
          <w:u w:val="single"/>
          <w:lang w:val="en-US" w:eastAsia="zh-CN"/>
        </w:rPr>
        <w:t xml:space="preserve"> 遂宁市鹏安投资有限公司 </w:t>
      </w:r>
      <w:r>
        <w:rPr>
          <w:rFonts w:hint="eastAsia" w:ascii="宋体" w:hAnsi="宋体" w:eastAsia="宋体" w:cs="宋体"/>
          <w:b w:val="0"/>
          <w:bCs w:val="0"/>
          <w:color w:val="auto"/>
          <w:sz w:val="24"/>
          <w:szCs w:val="24"/>
          <w:highlight w:val="none"/>
          <w:lang w:val="en-US" w:eastAsia="zh-CN"/>
        </w:rPr>
        <w:t>；</w:t>
      </w:r>
    </w:p>
    <w:p w14:paraId="7C1F1F86">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卡号：</w:t>
      </w:r>
      <w:r>
        <w:rPr>
          <w:rFonts w:hint="eastAsia" w:ascii="宋体" w:hAnsi="宋体" w:eastAsia="宋体" w:cs="宋体"/>
          <w:b w:val="0"/>
          <w:bCs w:val="0"/>
          <w:color w:val="auto"/>
          <w:sz w:val="24"/>
          <w:szCs w:val="24"/>
          <w:highlight w:val="none"/>
          <w:u w:val="single"/>
          <w:lang w:val="en-US" w:eastAsia="zh-CN"/>
        </w:rPr>
        <w:t xml:space="preserve"> 22320601040009472 </w:t>
      </w:r>
      <w:r>
        <w:rPr>
          <w:rFonts w:hint="eastAsia" w:ascii="宋体" w:hAnsi="宋体" w:eastAsia="宋体" w:cs="宋体"/>
          <w:b w:val="0"/>
          <w:bCs w:val="0"/>
          <w:color w:val="auto"/>
          <w:sz w:val="24"/>
          <w:szCs w:val="24"/>
          <w:highlight w:val="none"/>
          <w:lang w:val="en-US" w:eastAsia="zh-CN"/>
        </w:rPr>
        <w:t xml:space="preserve">；    </w:t>
      </w:r>
    </w:p>
    <w:p w14:paraId="6646D251">
      <w:pPr>
        <w:widowControl/>
        <w:numPr>
          <w:ilvl w:val="0"/>
          <w:numId w:val="0"/>
        </w:numPr>
        <w:spacing w:line="360" w:lineRule="auto"/>
        <w:ind w:left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开户行：</w:t>
      </w:r>
      <w:r>
        <w:rPr>
          <w:rFonts w:hint="eastAsia" w:ascii="宋体" w:hAnsi="宋体" w:eastAsia="宋体" w:cs="宋体"/>
          <w:b w:val="0"/>
          <w:bCs w:val="0"/>
          <w:color w:val="auto"/>
          <w:sz w:val="24"/>
          <w:szCs w:val="24"/>
          <w:highlight w:val="none"/>
          <w:u w:val="single"/>
          <w:lang w:val="en-US" w:eastAsia="zh-CN"/>
        </w:rPr>
        <w:t xml:space="preserve">  中国农业银行安居支行 </w:t>
      </w:r>
      <w:r>
        <w:rPr>
          <w:rFonts w:hint="eastAsia" w:ascii="宋体" w:hAnsi="宋体" w:eastAsia="宋体" w:cs="宋体"/>
          <w:b w:val="0"/>
          <w:bCs w:val="0"/>
          <w:color w:val="auto"/>
          <w:sz w:val="24"/>
          <w:szCs w:val="24"/>
          <w:highlight w:val="none"/>
          <w:lang w:val="en-US" w:eastAsia="zh-CN"/>
        </w:rPr>
        <w:t>。</w:t>
      </w:r>
    </w:p>
    <w:p w14:paraId="546A8614">
      <w:pPr>
        <w:widowControl/>
        <w:numPr>
          <w:ilvl w:val="0"/>
          <w:numId w:val="7"/>
        </w:numPr>
        <w:spacing w:line="360" w:lineRule="auto"/>
        <w:ind w:left="0" w:leftChars="0" w:firstLine="482"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中标单位需在中标公示期后5个工作日内缴纳中标金额的1%作为履约保证金（不接受保函）。</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11001CA">
      <w:pPr>
        <w:widowControl/>
        <w:numPr>
          <w:ilvl w:val="0"/>
          <w:numId w:val="8"/>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8"/>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①工程费用按中标单价计算，最终工程结算以业主审定工程量*中标单价为准。工程费用包含人工费、材料费、机械费、措施费、劳保费、管理费、利润、辅材费、用工人员保险费、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 xml:space="preserve">②变更约定: </w:t>
      </w:r>
      <w:r>
        <w:rPr>
          <w:rFonts w:hint="eastAsia" w:ascii="宋体" w:hAnsi="宋体" w:eastAsia="宋体" w:cs="宋体"/>
          <w:color w:val="auto"/>
          <w:sz w:val="24"/>
          <w:szCs w:val="24"/>
          <w:highlight w:val="none"/>
          <w:lang w:val="en-US" w:eastAsia="zh-CN"/>
        </w:rPr>
        <w:t>变更的工程费用经业主认可的工程量乘以鹏安公司控制价下浮N%办理工程结算(N为该分包的中标下浮点)</w:t>
      </w:r>
      <w:r>
        <w:rPr>
          <w:rFonts w:hint="eastAsia" w:ascii="宋体" w:hAnsi="宋体" w:cs="Times New Roman" w:eastAsiaTheme="minorEastAsia"/>
          <w:b w:val="0"/>
          <w:bCs/>
          <w:kern w:val="0"/>
          <w:sz w:val="24"/>
          <w:szCs w:val="24"/>
          <w:highlight w:val="none"/>
          <w:lang w:val="en-US" w:eastAsia="zh-CN"/>
        </w:rPr>
        <w:t>。</w:t>
      </w:r>
      <w:r>
        <w:rPr>
          <w:rFonts w:hint="eastAsia" w:ascii="宋体" w:hAnsi="宋体" w:eastAsia="宋体" w:cs="宋体"/>
          <w:color w:val="auto"/>
          <w:sz w:val="24"/>
          <w:szCs w:val="24"/>
          <w:highlight w:val="none"/>
          <w:lang w:val="en-US" w:eastAsia="zh-CN"/>
        </w:rPr>
        <w:t>施工过程中新增、变更工程按业主或鹏安公司审定的已完成工程产值，再按鹏安公司控制价下浮率后的50%计入进度，随进度支付条款进行拨付</w:t>
      </w:r>
      <w:r>
        <w:rPr>
          <w:rFonts w:hint="eastAsia" w:ascii="宋体" w:hAnsi="宋体" w:cs="Times New Roman" w:eastAsiaTheme="minorEastAsia"/>
          <w:b w:val="0"/>
          <w:bCs/>
          <w:kern w:val="0"/>
          <w:sz w:val="24"/>
          <w:szCs w:val="24"/>
          <w:highlight w:val="none"/>
          <w:lang w:val="en-US" w:eastAsia="zh-CN"/>
        </w:rPr>
        <w:t>。结算价格中含人工费、机械费、措施费（含安全文明施工费）、劳保费、管理费、利润、辅材费用、用工人员保险费、规费、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9"/>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2" w:firstLineChars="200"/>
        <w:textAlignment w:val="auto"/>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如公司法人未到开标现场，请提供投标授权书；</w:t>
      </w:r>
    </w:p>
    <w:p w14:paraId="45543585">
      <w:pPr>
        <w:pStyle w:val="4"/>
        <w:keepNext w:val="0"/>
        <w:keepLines w:val="0"/>
        <w:pageBreakBefore w:val="0"/>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keepNext w:val="0"/>
        <w:keepLines w:val="0"/>
        <w:pageBreakBefore w:val="0"/>
        <w:numPr>
          <w:ilvl w:val="0"/>
          <w:numId w:val="9"/>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投标文件组成要求</w:t>
      </w:r>
      <w:r>
        <w:rPr>
          <w:rFonts w:hint="eastAsia"/>
          <w:color w:val="auto"/>
          <w:highlight w:val="none"/>
          <w:lang w:eastAsia="zh-CN"/>
        </w:rPr>
        <w:t>：</w:t>
      </w:r>
    </w:p>
    <w:p w14:paraId="401182ED">
      <w:pPr>
        <w:pStyle w:val="4"/>
        <w:keepNext w:val="0"/>
        <w:keepLines w:val="0"/>
        <w:pageBreakBefore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highlight w:val="none"/>
          <w:lang w:val="en-US" w:eastAsia="zh-CN"/>
        </w:rPr>
        <w:t>市政公用工程施工总承包三级及以上资质（含绿化工程）或者公路工程施工总承包三级及以上资质</w:t>
      </w:r>
      <w:r>
        <w:rPr>
          <w:color w:val="auto"/>
          <w:highlight w:val="none"/>
        </w:rPr>
        <w:t>、安全生产许可证复印件；</w:t>
      </w:r>
    </w:p>
    <w:p w14:paraId="79C21AAF">
      <w:pPr>
        <w:pStyle w:val="4"/>
        <w:keepNext w:val="0"/>
        <w:keepLines w:val="0"/>
        <w:pageBreakBefore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1BB26503">
      <w:pPr>
        <w:pStyle w:val="4"/>
        <w:keepNext w:val="0"/>
        <w:keepLines w:val="0"/>
        <w:pageBreakBefore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cs="Times New Roman"/>
          <w:color w:val="auto"/>
          <w:kern w:val="2"/>
          <w:sz w:val="24"/>
          <w:highlight w:val="none"/>
          <w:lang w:val="en-US" w:eastAsia="zh-CN" w:bidi="ar-SA"/>
        </w:rPr>
        <w:t>投标保证金缴纳凭证；</w:t>
      </w:r>
    </w:p>
    <w:p w14:paraId="14696C2B">
      <w:pPr>
        <w:pStyle w:val="4"/>
        <w:keepNext w:val="0"/>
        <w:keepLines w:val="0"/>
        <w:pageBreakBefore w:val="0"/>
        <w:numPr>
          <w:ilvl w:val="0"/>
          <w:numId w:val="11"/>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以下情形之一招标人直接取消中标单位中标资格</w:t>
      </w:r>
    </w:p>
    <w:p w14:paraId="0F9CEE69">
      <w:pPr>
        <w:pStyle w:val="4"/>
        <w:keepNext w:val="0"/>
        <w:keepLines w:val="0"/>
        <w:pageBreakBefore w:val="0"/>
        <w:widowControl/>
        <w:numPr>
          <w:ilvl w:val="0"/>
          <w:numId w:val="12"/>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中标人在中标通知书发出30日内，中标人无正当理由不与招标人订立合同；</w:t>
      </w:r>
    </w:p>
    <w:p w14:paraId="12535916">
      <w:pPr>
        <w:pStyle w:val="4"/>
        <w:keepNext w:val="0"/>
        <w:keepLines w:val="0"/>
        <w:pageBreakBefore w:val="0"/>
        <w:widowControl/>
        <w:numPr>
          <w:ilvl w:val="0"/>
          <w:numId w:val="12"/>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中标人在签订合同时向招标人提出附加条件；</w:t>
      </w:r>
    </w:p>
    <w:p w14:paraId="6022AA99">
      <w:pPr>
        <w:pStyle w:val="4"/>
        <w:keepNext w:val="0"/>
        <w:keepLines w:val="0"/>
        <w:pageBreakBefore w:val="0"/>
        <w:widowControl/>
        <w:numPr>
          <w:ilvl w:val="0"/>
          <w:numId w:val="12"/>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经核查，存在弄虚作假、借资质、挂靠、围标、串标等违法违规行为的；</w:t>
      </w:r>
    </w:p>
    <w:p w14:paraId="1D4E2E24">
      <w:pPr>
        <w:pStyle w:val="4"/>
        <w:keepNext w:val="0"/>
        <w:keepLines w:val="0"/>
        <w:pageBreakBefore w:val="0"/>
        <w:widowControl/>
        <w:numPr>
          <w:ilvl w:val="0"/>
          <w:numId w:val="12"/>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keepNext w:val="0"/>
        <w:keepLines w:val="0"/>
        <w:pageBreakBefore w:val="0"/>
        <w:widowControl/>
        <w:numPr>
          <w:ilvl w:val="0"/>
          <w:numId w:val="12"/>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after="0"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12</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19上午9</w:t>
      </w:r>
      <w:r>
        <w:rPr>
          <w:rFonts w:hint="eastAsia" w:ascii="宋体" w:hAnsi="宋体" w:eastAsia="宋体" w:cs="宋体"/>
          <w:b/>
          <w:bCs/>
          <w:color w:val="auto"/>
          <w:sz w:val="24"/>
          <w:szCs w:val="24"/>
          <w:highlight w:val="none"/>
        </w:rPr>
        <w:t>点</w:t>
      </w:r>
      <w:r>
        <w:rPr>
          <w:rFonts w:hint="eastAsia" w:ascii="宋体" w:hAnsi="宋体" w:cs="宋体"/>
          <w:b/>
          <w:bCs/>
          <w:color w:val="auto"/>
          <w:sz w:val="24"/>
          <w:szCs w:val="24"/>
          <w:highlight w:val="none"/>
          <w:lang w:val="en-US" w:eastAsia="zh-CN"/>
        </w:rPr>
        <w:t>30分</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上午9点30分</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0825-8663232。</w:t>
      </w:r>
    </w:p>
    <w:p w14:paraId="64048929">
      <w:pPr>
        <w:pStyle w:val="4"/>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890F765">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rFonts w:hint="eastAsia"/>
          <w:color w:val="auto"/>
          <w:highlight w:val="none"/>
          <w:u w:val="none"/>
          <w:lang w:val="en-US" w:eastAsia="zh-CN"/>
        </w:rPr>
        <w:t>投标保证金缴纳凭证；</w:t>
      </w:r>
    </w:p>
    <w:p w14:paraId="1BEDD507">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78900C1C">
      <w:pPr>
        <w:pStyle w:val="4"/>
        <w:keepNext w:val="0"/>
        <w:keepLines w:val="0"/>
        <w:pageBreakBefore w:val="0"/>
        <w:widowControl w:val="0"/>
        <w:numPr>
          <w:ilvl w:val="0"/>
          <w:numId w:val="13"/>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33A3183D">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964" w:right="907" w:bottom="964" w:left="907"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12</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16</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4"/>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5"/>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5"/>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5"/>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5"/>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4"/>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6"/>
        </w:numPr>
        <w:ind w:left="0" w:leftChars="0" w:firstLine="480" w:firstLineChars="0"/>
        <w:rPr>
          <w:b w:val="0"/>
          <w:color w:val="auto"/>
          <w:highlight w:val="none"/>
        </w:rPr>
      </w:pPr>
      <w:r>
        <w:rPr>
          <w:color w:val="auto"/>
          <w:highlight w:val="none"/>
        </w:rPr>
        <w:t>资质：</w:t>
      </w:r>
      <w:r>
        <w:rPr>
          <w:rFonts w:hint="eastAsia" w:ascii="宋体" w:hAnsi="宋体" w:cs="Times New Roman" w:eastAsiaTheme="minorEastAsia"/>
          <w:b w:val="0"/>
          <w:bCs/>
          <w:kern w:val="0"/>
          <w:sz w:val="24"/>
          <w:szCs w:val="24"/>
          <w:highlight w:val="none"/>
          <w:lang w:val="en-US" w:eastAsia="zh-CN"/>
        </w:rPr>
        <w:t>市政公用工程施工总承包三级及以上资质（含绿化工程）或者公路工程施工总承包三级及以上资质</w:t>
      </w:r>
      <w:r>
        <w:rPr>
          <w:rFonts w:ascii="Times New Roman" w:hAnsi="Times New Roman" w:cs="Times New Roman"/>
          <w:color w:val="auto"/>
          <w:highlight w:val="none"/>
        </w:rPr>
        <w:t>。</w:t>
      </w:r>
    </w:p>
    <w:p w14:paraId="7176C957">
      <w:pPr>
        <w:pStyle w:val="4"/>
        <w:numPr>
          <w:ilvl w:val="0"/>
          <w:numId w:val="16"/>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6"/>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6"/>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6"/>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4"/>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4"/>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7"/>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7"/>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64A2A43E">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7112DBD5">
      <w:pPr>
        <w:spacing w:line="480" w:lineRule="auto"/>
        <w:ind w:left="0" w:leftChars="0"/>
        <w:jc w:val="center"/>
        <w:rPr>
          <w:rFonts w:hint="eastAsia" w:ascii="宋体" w:hAnsi="宋体" w:eastAsia="宋体" w:cs="宋体"/>
          <w:b/>
          <w:color w:val="auto"/>
          <w:sz w:val="24"/>
          <w:szCs w:val="24"/>
          <w:highlight w:val="none"/>
          <w:lang w:eastAsia="zh-CN"/>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附市政/公路二级建造师或市政/公路施工员与安全员证书以及各人员劳动合同</w:t>
      </w:r>
      <w:r>
        <w:rPr>
          <w:rFonts w:hint="eastAsia" w:ascii="宋体" w:hAnsi="宋体" w:cs="宋体"/>
          <w:b/>
          <w:color w:val="auto"/>
          <w:sz w:val="24"/>
          <w:szCs w:val="24"/>
          <w:highlight w:val="none"/>
          <w:lang w:eastAsia="zh-CN"/>
        </w:rPr>
        <w:t>）</w:t>
      </w:r>
    </w:p>
    <w:tbl>
      <w:tblPr>
        <w:tblStyle w:val="9"/>
        <w:tblW w:w="9683"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575"/>
        <w:gridCol w:w="1220"/>
        <w:gridCol w:w="1930"/>
        <w:gridCol w:w="3488"/>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575"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20"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30"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488"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70"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470"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0"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470"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bookmarkStart w:id="0" w:name="_GoBack"/>
            <w:bookmarkEnd w:id="0"/>
          </w:p>
        </w:tc>
        <w:tc>
          <w:tcPr>
            <w:tcW w:w="1220"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1470"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0"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575"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20"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30"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488"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33520551">
      <w:pPr>
        <w:pStyle w:val="8"/>
        <w:ind w:left="0" w:leftChars="0" w:firstLine="0" w:firstLineChars="0"/>
        <w:rPr>
          <w:rFonts w:hint="eastAsia" w:ascii="Times New Roman" w:hAnsi="Times New Roman" w:eastAsia="宋体" w:cs="Times New Roman"/>
          <w:b/>
          <w:bCs/>
          <w:color w:val="auto"/>
          <w:highlight w:val="none"/>
          <w:lang w:val="en-US" w:eastAsia="zh-CN"/>
        </w:rPr>
        <w:sectPr>
          <w:pgSz w:w="11906" w:h="16838"/>
          <w:pgMar w:top="1440" w:right="1803" w:bottom="1440" w:left="1803" w:header="851" w:footer="992" w:gutter="0"/>
          <w:cols w:space="720" w:num="1"/>
          <w:rtlGutter w:val="0"/>
          <w:docGrid w:type="lines" w:linePitch="319" w:charSpace="0"/>
        </w:sectPr>
      </w:pPr>
      <w:r>
        <w:rPr>
          <w:rFonts w:hint="eastAsia" w:ascii="宋体" w:hAnsi="宋体" w:cs="宋体"/>
          <w:b/>
          <w:bCs/>
          <w:color w:val="auto"/>
          <w:sz w:val="24"/>
          <w:szCs w:val="24"/>
          <w:highlight w:val="none"/>
          <w:lang w:val="en-US" w:eastAsia="zh-CN"/>
        </w:rPr>
        <w:t>注：</w:t>
      </w:r>
      <w:r>
        <w:rPr>
          <w:b/>
          <w:bCs/>
          <w:color w:val="auto"/>
          <w:highlight w:val="none"/>
        </w:rPr>
        <w:t>施工管理人员</w:t>
      </w:r>
      <w:r>
        <w:rPr>
          <w:rFonts w:hint="eastAsia"/>
          <w:b/>
          <w:bCs/>
          <w:color w:val="auto"/>
          <w:highlight w:val="none"/>
          <w:lang w:val="en-US" w:eastAsia="zh-CN"/>
        </w:rPr>
        <w:t>不低于1人，资料管理人员不低于1人，安全协管人员不低于1人，造价专员不低于1人，材料员不低于1人（资料员、造价专员、材料员三个岗位可一人兼2个岗位（最少2人），其他管理岗位不得兼职）</w:t>
      </w:r>
      <w:r>
        <w:rPr>
          <w:rFonts w:hint="eastAsia" w:ascii="Times New Roman" w:hAnsi="Times New Roman" w:eastAsia="宋体" w:cs="Times New Roman"/>
          <w:b/>
          <w:bCs/>
          <w:color w:val="auto"/>
          <w:highlight w:val="none"/>
          <w:lang w:val="en-US" w:eastAsia="zh-CN"/>
        </w:rPr>
        <w:t>。</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054AB5B7">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00712FC0">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材料员可承担1个600万元以上和1个100万元以下的项目，且2个项目直线距离不超过5公里。</w:t>
      </w:r>
    </w:p>
    <w:p w14:paraId="07FD82FE">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资料管理人员、造价专员同期可承担1个600万元以上和2个</w:t>
      </w:r>
      <w:r>
        <w:rPr>
          <w:rFonts w:hint="eastAsia" w:ascii="宋体" w:hAnsi="宋体" w:cs="宋体"/>
          <w:color w:val="auto"/>
          <w:kern w:val="2"/>
          <w:sz w:val="24"/>
          <w:szCs w:val="24"/>
          <w:highlight w:val="none"/>
          <w:lang w:val="en-US" w:eastAsia="zh-CN" w:bidi="ar-SA"/>
        </w:rPr>
        <w:t>1</w:t>
      </w:r>
      <w:r>
        <w:rPr>
          <w:rFonts w:hint="eastAsia" w:ascii="宋体" w:hAnsi="宋体" w:eastAsia="宋体" w:cs="宋体"/>
          <w:color w:val="auto"/>
          <w:kern w:val="2"/>
          <w:sz w:val="24"/>
          <w:szCs w:val="24"/>
          <w:highlight w:val="none"/>
          <w:lang w:val="en-US" w:eastAsia="zh-CN" w:bidi="ar-SA"/>
        </w:rPr>
        <w:t>00万元以下的项目。</w:t>
      </w:r>
    </w:p>
    <w:p w14:paraId="380AA658">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项目相关管理人员证书注册单位与投标单位不做要求，但必须为本项目实施过程中实际现场管理人员，履行对应职责，否则将按照公司规定处罚。</w:t>
      </w:r>
    </w:p>
    <w:p w14:paraId="059EBE8E">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施工管理人员、安全协管人员、材料员在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63DA7A81">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的施工管理人员、安全协管人员、材料员等主要管理人员离开施工现场每月累计超过3天的，应通知施工项目部，并征得施工项目部书面同意。</w:t>
      </w:r>
    </w:p>
    <w:p w14:paraId="4488448A">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35CE10E5">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擅自更换施工管理人员、安全协管人员、材料员，按3000元/次/人进行处罚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擅自更换资料管理人员、造价专员，按2000元/次/人进行处罚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施工管理人员、安全协管人员、材料员不称职甲方要求更换的，每更换一人罚款3000元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6FE4B0F9">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eastAsia="宋体" w:cs="宋体"/>
          <w:color w:val="auto"/>
          <w:kern w:val="2"/>
          <w:sz w:val="24"/>
          <w:szCs w:val="24"/>
          <w:highlight w:val="none"/>
          <w:lang w:val="en-US" w:eastAsia="zh-CN" w:bidi="ar-SA"/>
        </w:rPr>
        <w:t>经项目部同意批准更换项目管理人员，施工管理人员、安全协管人员、材料员每人次罚款2000元，项目其他管理人员1000元。</w:t>
      </w:r>
    </w:p>
    <w:p w14:paraId="327C47C0">
      <w:pPr>
        <w:pStyle w:val="8"/>
        <w:ind w:left="0" w:leftChars="0" w:firstLine="0" w:firstLineChars="0"/>
        <w:rPr>
          <w:rFonts w:hint="eastAsia"/>
          <w:b/>
          <w:bCs/>
          <w:color w:val="auto"/>
          <w:highlight w:val="none"/>
          <w:lang w:val="en-US" w:eastAsia="zh-CN"/>
        </w:rPr>
      </w:pPr>
    </w:p>
    <w:p w14:paraId="121FFEBE">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 投标保证金缴纳凭证（附交易记录或截图或转款凭证等形式，并加盖单位公章）</w:t>
      </w:r>
    </w:p>
    <w:p w14:paraId="4B87163B">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left"/>
        <w:textAlignment w:val="auto"/>
        <w:rPr>
          <w:rFonts w:hint="default" w:ascii="仿宋_GB2312" w:hAnsi="仿宋_GB2312" w:eastAsia="仿宋_GB2312" w:cs="仿宋_GB2312"/>
          <w:b/>
          <w:bCs/>
          <w:kern w:val="0"/>
          <w:sz w:val="30"/>
          <w:szCs w:val="30"/>
          <w:highlight w:val="none"/>
          <w:lang w:val="en-US" w:eastAsia="zh-CN" w:bidi="ar-SA"/>
        </w:rPr>
      </w:pPr>
    </w:p>
    <w:tbl>
      <w:tblPr>
        <w:tblStyle w:val="9"/>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4"/>
        <w:gridCol w:w="3130"/>
        <w:gridCol w:w="3624"/>
        <w:gridCol w:w="3362"/>
        <w:gridCol w:w="3712"/>
      </w:tblGrid>
      <w:tr w14:paraId="1A483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trPr>
        <w:tc>
          <w:tcPr>
            <w:tcW w:w="354" w:type="pct"/>
            <w:noWrap w:val="0"/>
            <w:vAlign w:val="center"/>
          </w:tcPr>
          <w:p w14:paraId="4F3B6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051" w:type="pct"/>
            <w:noWrap w:val="0"/>
            <w:vAlign w:val="center"/>
          </w:tcPr>
          <w:p w14:paraId="342CBB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217" w:type="pct"/>
            <w:noWrap w:val="0"/>
            <w:vAlign w:val="center"/>
          </w:tcPr>
          <w:p w14:paraId="2E3284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rPr>
            </w:pPr>
            <w:r>
              <w:rPr>
                <w:rFonts w:hint="eastAsia" w:ascii="仿宋_GB2312" w:hAnsi="仿宋_GB2312" w:eastAsia="仿宋_GB2312" w:cs="仿宋_GB2312"/>
                <w:b/>
                <w:bCs/>
                <w:sz w:val="30"/>
                <w:szCs w:val="30"/>
                <w:highlight w:val="none"/>
                <w:lang w:val="en-US" w:eastAsia="zh-CN"/>
              </w:rPr>
              <w:t>控制价（元）</w:t>
            </w:r>
          </w:p>
        </w:tc>
        <w:tc>
          <w:tcPr>
            <w:tcW w:w="1129" w:type="pct"/>
            <w:noWrap w:val="0"/>
            <w:vAlign w:val="center"/>
          </w:tcPr>
          <w:p w14:paraId="528DE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投标保证金金额（元）</w:t>
            </w:r>
          </w:p>
        </w:tc>
        <w:tc>
          <w:tcPr>
            <w:tcW w:w="1246" w:type="pct"/>
            <w:noWrap w:val="0"/>
            <w:vAlign w:val="center"/>
          </w:tcPr>
          <w:p w14:paraId="74229C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备注</w:t>
            </w:r>
          </w:p>
        </w:tc>
      </w:tr>
      <w:tr w14:paraId="1AE1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trPr>
        <w:tc>
          <w:tcPr>
            <w:tcW w:w="354" w:type="pct"/>
            <w:noWrap w:val="0"/>
            <w:vAlign w:val="center"/>
          </w:tcPr>
          <w:p w14:paraId="421E3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051" w:type="pct"/>
            <w:noWrap w:val="0"/>
            <w:vAlign w:val="center"/>
          </w:tcPr>
          <w:p w14:paraId="3027B8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喷播植草工程专业分包</w:t>
            </w:r>
          </w:p>
        </w:tc>
        <w:tc>
          <w:tcPr>
            <w:tcW w:w="1217" w:type="pct"/>
            <w:noWrap w:val="0"/>
            <w:vAlign w:val="center"/>
          </w:tcPr>
          <w:p w14:paraId="05FC7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sz w:val="30"/>
                <w:szCs w:val="30"/>
                <w:highlight w:val="none"/>
                <w:u w:val="none"/>
                <w:shd w:val="clear" w:color="auto" w:fill="auto"/>
                <w:lang w:val="en-US" w:eastAsia="zh-CN"/>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5599440.8</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129" w:type="pct"/>
            <w:noWrap w:val="0"/>
            <w:vAlign w:val="center"/>
          </w:tcPr>
          <w:p w14:paraId="46064961">
            <w:pPr>
              <w:keepNext w:val="0"/>
              <w:keepLines w:val="0"/>
              <w:pageBreakBefore w:val="0"/>
              <w:widowControl w:val="0"/>
              <w:kinsoku/>
              <w:wordWrap/>
              <w:overflowPunct/>
              <w:topLinePunct w:val="0"/>
              <w:autoSpaceDE/>
              <w:autoSpaceDN/>
              <w:bidi w:val="0"/>
              <w:adjustRightInd/>
              <w:snapToGrid/>
              <w:spacing w:line="560" w:lineRule="exact"/>
              <w:ind w:firstLine="1200" w:firstLineChars="400"/>
              <w:jc w:val="both"/>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5000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246" w:type="pct"/>
            <w:noWrap w:val="0"/>
            <w:vAlign w:val="center"/>
          </w:tcPr>
          <w:p w14:paraId="612378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yellow"/>
                <w:u w:val="singl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若中标单位提供虚假资料或因自身原因放弃中标资格的，保证金不予退还。</w:t>
            </w:r>
          </w:p>
        </w:tc>
      </w:tr>
    </w:tbl>
    <w:p w14:paraId="1FDAB0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2DCC4C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sectPr>
          <w:pgSz w:w="16838" w:h="11906" w:orient="landscape"/>
          <w:pgMar w:top="1304" w:right="1080" w:bottom="1304" w:left="1080" w:header="851" w:footer="992" w:gutter="0"/>
          <w:cols w:space="720" w:num="1"/>
          <w:rtlGutter w:val="0"/>
          <w:docGrid w:type="lines" w:linePitch="319" w:charSpace="0"/>
        </w:sect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1D1522F7">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附件六：</w:t>
      </w:r>
    </w:p>
    <w:p w14:paraId="1E6637DE">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遂宁市安居区农村产业融合示范园区建设项目（一期）（道路及产业园基础设施建设）第一批/遂宁市安居区农村产业融合示范园区建设项目（一期）（道路及产业园基础设施建设）第二批/琼江流域农村公路及桥梁整治建设项目</w:t>
      </w:r>
      <w:r>
        <w:rPr>
          <w:rFonts w:hint="eastAsia" w:ascii="宋体" w:hAnsi="宋体" w:eastAsia="宋体" w:cs="宋体"/>
          <w:b/>
          <w:color w:val="auto"/>
          <w:sz w:val="24"/>
          <w:szCs w:val="24"/>
          <w:highlight w:val="none"/>
          <w:lang w:val="en-US" w:eastAsia="zh-CN"/>
        </w:rPr>
        <w:t>报价表</w:t>
      </w:r>
    </w:p>
    <w:tbl>
      <w:tblPr>
        <w:tblStyle w:val="9"/>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3304"/>
        <w:gridCol w:w="3173"/>
        <w:gridCol w:w="4796"/>
        <w:gridCol w:w="2460"/>
      </w:tblGrid>
      <w:tr w14:paraId="186D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385" w:type="pct"/>
            <w:noWrap w:val="0"/>
            <w:vAlign w:val="center"/>
          </w:tcPr>
          <w:p w14:paraId="4021FC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110" w:type="pct"/>
            <w:noWrap w:val="0"/>
            <w:vAlign w:val="center"/>
          </w:tcPr>
          <w:p w14:paraId="0C9FC1E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066" w:type="pct"/>
            <w:noWrap w:val="0"/>
            <w:vAlign w:val="center"/>
          </w:tcPr>
          <w:p w14:paraId="2F669A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611" w:type="pct"/>
            <w:noWrap w:val="0"/>
            <w:vAlign w:val="center"/>
          </w:tcPr>
          <w:p w14:paraId="2038722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控制价（元）</w:t>
            </w:r>
          </w:p>
        </w:tc>
        <w:tc>
          <w:tcPr>
            <w:tcW w:w="826" w:type="pct"/>
            <w:noWrap w:val="0"/>
            <w:vAlign w:val="center"/>
          </w:tcPr>
          <w:p w14:paraId="5221EDD5">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2565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385" w:type="pct"/>
            <w:noWrap w:val="0"/>
            <w:vAlign w:val="center"/>
          </w:tcPr>
          <w:p w14:paraId="2DA108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110" w:type="pct"/>
            <w:noWrap w:val="0"/>
            <w:vAlign w:val="center"/>
          </w:tcPr>
          <w:p w14:paraId="66FD96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喷播植草工程专业分包</w:t>
            </w:r>
          </w:p>
        </w:tc>
        <w:tc>
          <w:tcPr>
            <w:tcW w:w="1066" w:type="pct"/>
            <w:noWrap w:val="0"/>
            <w:vAlign w:val="center"/>
          </w:tcPr>
          <w:p w14:paraId="3850679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1200" w:firstLineChars="4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611" w:type="pct"/>
            <w:noWrap w:val="0"/>
            <w:vAlign w:val="center"/>
          </w:tcPr>
          <w:p w14:paraId="4ABB01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sz w:val="30"/>
                <w:szCs w:val="30"/>
                <w:highlight w:val="none"/>
                <w:u w:val="none"/>
                <w:shd w:val="clear" w:color="auto" w:fill="auto"/>
                <w:lang w:val="en-US" w:eastAsia="zh-CN"/>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5599440.8</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r>
              <w:rPr>
                <w:rFonts w:hint="eastAsia" w:ascii="仿宋_GB2312" w:hAnsi="仿宋_GB2312" w:eastAsia="仿宋_GB2312" w:cs="仿宋_GB2312"/>
                <w:color w:val="000000" w:themeColor="text1"/>
                <w:sz w:val="30"/>
                <w:szCs w:val="30"/>
                <w:highlight w:val="none"/>
                <w:u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总价下浮</w:t>
            </w: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12%作为最高限价，下浮</w:t>
            </w:r>
            <w:r>
              <w:rPr>
                <w:rFonts w:hint="default"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比例最高的单位</w:t>
            </w: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中选，投标下浮率小于或等于12%视为废标。</w:t>
            </w:r>
          </w:p>
          <w:p w14:paraId="028465EF">
            <w:pPr>
              <w:pStyle w:val="8"/>
              <w:ind w:left="0" w:leftChars="0" w:firstLine="0" w:firstLineChars="0"/>
              <w:rPr>
                <w:rFonts w:hint="eastAsia"/>
                <w:highlight w:val="none"/>
                <w:lang w:val="en-US" w:eastAsia="zh-CN"/>
              </w:rPr>
            </w:pPr>
          </w:p>
        </w:tc>
        <w:tc>
          <w:tcPr>
            <w:tcW w:w="826" w:type="pct"/>
            <w:noWrap w:val="0"/>
            <w:vAlign w:val="center"/>
          </w:tcPr>
          <w:p w14:paraId="349BD7E3">
            <w:pPr>
              <w:jc w:val="center"/>
              <w:rPr>
                <w:rFonts w:hint="eastAsia" w:ascii="仿宋_GB2312" w:hAnsi="仿宋_GB2312" w:eastAsia="仿宋_GB2312" w:cs="仿宋_GB2312"/>
                <w:sz w:val="30"/>
                <w:szCs w:val="30"/>
                <w:highlight w:val="none"/>
              </w:rPr>
            </w:pPr>
          </w:p>
        </w:tc>
      </w:tr>
    </w:tbl>
    <w:p w14:paraId="469BA56D">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宋体" w:hAnsi="宋体" w:eastAsia="宋体" w:cs="宋体"/>
          <w:b/>
          <w:color w:val="auto"/>
          <w:sz w:val="24"/>
          <w:szCs w:val="24"/>
          <w:highlight w:val="none"/>
          <w:lang w:val="en-US" w:eastAsia="zh-CN"/>
        </w:rPr>
      </w:pPr>
    </w:p>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2071B25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031F6"/>
    <w:multiLevelType w:val="singleLevel"/>
    <w:tmpl w:val="A28031F6"/>
    <w:lvl w:ilvl="0" w:tentative="0">
      <w:start w:val="1"/>
      <w:numFmt w:val="decimal"/>
      <w:lvlText w:val="%1."/>
      <w:lvlJc w:val="left"/>
      <w:pPr>
        <w:ind w:left="425" w:hanging="425"/>
      </w:pPr>
      <w:rPr>
        <w:rFonts w:hint="default"/>
      </w:rPr>
    </w:lvl>
  </w:abstractNum>
  <w:abstractNum w:abstractNumId="1">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2">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3">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4">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5">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6">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7">
    <w:nsid w:val="D6CA5099"/>
    <w:multiLevelType w:val="singleLevel"/>
    <w:tmpl w:val="D6CA5099"/>
    <w:lvl w:ilvl="0" w:tentative="0">
      <w:start w:val="3"/>
      <w:numFmt w:val="decimal"/>
      <w:lvlText w:val="%1."/>
      <w:lvlJc w:val="left"/>
      <w:pPr>
        <w:tabs>
          <w:tab w:val="left" w:pos="420"/>
        </w:tabs>
        <w:ind w:left="425" w:leftChars="0" w:hanging="425" w:firstLineChars="0"/>
      </w:pPr>
      <w:rPr>
        <w:rFonts w:hint="default"/>
      </w:r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1444BB35"/>
    <w:multiLevelType w:val="singleLevel"/>
    <w:tmpl w:val="1444BB35"/>
    <w:lvl w:ilvl="0" w:tentative="0">
      <w:start w:val="1"/>
      <w:numFmt w:val="decimal"/>
      <w:lvlText w:val="%1."/>
      <w:lvlJc w:val="left"/>
      <w:pPr>
        <w:ind w:left="425" w:hanging="425"/>
      </w:pPr>
      <w:rPr>
        <w:rFonts w:hint="default"/>
      </w:rPr>
    </w:lvl>
  </w:abstractNum>
  <w:abstractNum w:abstractNumId="10">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1">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2">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3">
    <w:nsid w:val="34719065"/>
    <w:multiLevelType w:val="multilevel"/>
    <w:tmpl w:val="34719065"/>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14">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5">
    <w:nsid w:val="5F954E43"/>
    <w:multiLevelType w:val="singleLevel"/>
    <w:tmpl w:val="5F954E43"/>
    <w:lvl w:ilvl="0" w:tentative="0">
      <w:start w:val="1"/>
      <w:numFmt w:val="decimalEnclosedCircleChinese"/>
      <w:suff w:val="nothing"/>
      <w:lvlText w:val="%1　"/>
      <w:lvlJc w:val="left"/>
      <w:pPr>
        <w:ind w:left="0" w:firstLine="400"/>
      </w:pPr>
      <w:rPr>
        <w:rFonts w:hint="eastAsia"/>
      </w:rPr>
    </w:lvl>
  </w:abstractNum>
  <w:abstractNum w:abstractNumId="16">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7">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7"/>
  </w:num>
  <w:num w:numId="2">
    <w:abstractNumId w:val="13"/>
  </w:num>
  <w:num w:numId="3">
    <w:abstractNumId w:val="15"/>
  </w:num>
  <w:num w:numId="4">
    <w:abstractNumId w:val="4"/>
  </w:num>
  <w:num w:numId="5">
    <w:abstractNumId w:val="11"/>
  </w:num>
  <w:num w:numId="6">
    <w:abstractNumId w:val="7"/>
  </w:num>
  <w:num w:numId="7">
    <w:abstractNumId w:val="14"/>
  </w:num>
  <w:num w:numId="8">
    <w:abstractNumId w:val="5"/>
  </w:num>
  <w:num w:numId="9">
    <w:abstractNumId w:val="3"/>
  </w:num>
  <w:num w:numId="10">
    <w:abstractNumId w:val="2"/>
  </w:num>
  <w:num w:numId="11">
    <w:abstractNumId w:val="12"/>
  </w:num>
  <w:num w:numId="12">
    <w:abstractNumId w:val="16"/>
  </w:num>
  <w:num w:numId="13">
    <w:abstractNumId w:val="0"/>
  </w:num>
  <w:num w:numId="14">
    <w:abstractNumId w:val="1"/>
  </w:num>
  <w:num w:numId="15">
    <w:abstractNumId w:val="8"/>
  </w:num>
  <w:num w:numId="16">
    <w:abstractNumId w:val="10"/>
  </w:num>
  <w:num w:numId="17">
    <w:abstractNumId w:val="6"/>
  </w:num>
  <w:num w:numId="18">
    <w:abstractNumId w:val="9"/>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