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D272BD">
      <w:pPr>
        <w:pStyle w:val="7"/>
        <w:keepNext w:val="0"/>
        <w:keepLines w:val="0"/>
        <w:pageBreakBefore w:val="0"/>
        <w:widowControl/>
        <w:kinsoku/>
        <w:overflowPunct/>
        <w:topLinePunct w:val="0"/>
        <w:bidi w:val="0"/>
        <w:spacing w:line="360" w:lineRule="auto"/>
        <w:ind w:firstLine="880" w:firstLineChars="200"/>
        <w:textAlignment w:val="auto"/>
        <w:rPr>
          <w:rFonts w:hint="default"/>
          <w:highlight w:val="none"/>
          <w:lang w:val="en-US" w:eastAsia="zh-CN"/>
        </w:rPr>
      </w:pPr>
      <w:r>
        <w:rPr>
          <w:rFonts w:hint="eastAsia"/>
          <w:highlight w:val="none"/>
          <w:lang w:val="en-US" w:eastAsia="zh-CN"/>
        </w:rPr>
        <w:t>遂宁市安居区梧桐路片区城市污水管网整治及附属设施提升项目／遂宁市安居区城南旧城片区城市排水防涝整治建设项目人行道及车行道级配碎石垫层专业分包报价比选邀请函</w:t>
      </w:r>
    </w:p>
    <w:p w14:paraId="4BF337CF">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rFonts w:hint="eastAsia" w:ascii="宋体" w:hAnsi="宋体" w:eastAsia="宋体" w:cs="宋体"/>
          <w:color w:val="auto"/>
          <w:sz w:val="24"/>
          <w:szCs w:val="24"/>
          <w:highlight w:val="none"/>
          <w:u w:val="none"/>
        </w:rPr>
        <w:t>各单位</w:t>
      </w:r>
      <w:r>
        <w:rPr>
          <w:rFonts w:hint="eastAsia"/>
          <w:color w:val="auto"/>
          <w:highlight w:val="none"/>
          <w:u w:val="none"/>
          <w:lang w:eastAsia="zh-CN"/>
        </w:rPr>
        <w:t>：</w:t>
      </w:r>
    </w:p>
    <w:p w14:paraId="1D3F2DE7">
      <w:pPr>
        <w:pStyle w:val="4"/>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遂宁市安居区梧桐路片区城市污水管网整治及附属设施提升项目／遂宁市安居区城南旧城片区城市排水防涝整治建设项目</w:t>
      </w:r>
      <w:r>
        <w:rPr>
          <w:color w:val="auto"/>
          <w:highlight w:val="none"/>
        </w:rPr>
        <w:t>，现根据施工需要，对本项目工程进行</w:t>
      </w:r>
      <w:r>
        <w:rPr>
          <w:rFonts w:hint="eastAsia"/>
          <w:b/>
          <w:bCs/>
          <w:color w:val="auto"/>
          <w:highlight w:val="none"/>
          <w:u w:val="single"/>
          <w:lang w:val="en-US" w:eastAsia="zh-CN"/>
        </w:rPr>
        <w:t>人行道及车行道级配碎石垫层专业分包</w:t>
      </w:r>
      <w:r>
        <w:rPr>
          <w:color w:val="auto"/>
          <w:highlight w:val="none"/>
        </w:rPr>
        <w:t>，</w:t>
      </w:r>
      <w:r>
        <w:rPr>
          <w:rFonts w:hint="eastAsia" w:ascii="宋体" w:hAnsi="宋体" w:cs="Times New Roman" w:eastAsiaTheme="minorEastAsia"/>
          <w:b w:val="0"/>
          <w:bCs/>
          <w:kern w:val="0"/>
          <w:sz w:val="24"/>
          <w:szCs w:val="24"/>
          <w:highlight w:val="none"/>
          <w:lang w:eastAsia="zh-CN"/>
        </w:rPr>
        <w:t>现诚邀</w:t>
      </w:r>
      <w:r>
        <w:rPr>
          <w:rFonts w:hint="eastAsia" w:ascii="宋体" w:hAnsi="宋体" w:cs="Times New Roman" w:eastAsiaTheme="minorEastAsia"/>
          <w:b w:val="0"/>
          <w:bCs/>
          <w:kern w:val="0"/>
          <w:sz w:val="24"/>
          <w:szCs w:val="24"/>
          <w:highlight w:val="none"/>
          <w:lang w:val="en-US" w:eastAsia="zh-CN"/>
        </w:rPr>
        <w:t>各</w:t>
      </w:r>
      <w:r>
        <w:rPr>
          <w:rFonts w:hint="eastAsia" w:ascii="宋体" w:hAnsi="宋体" w:cs="Times New Roman" w:eastAsiaTheme="minorEastAsia"/>
          <w:b w:val="0"/>
          <w:bCs/>
          <w:kern w:val="0"/>
          <w:sz w:val="24"/>
          <w:szCs w:val="24"/>
          <w:highlight w:val="none"/>
          <w:lang w:eastAsia="zh-CN"/>
        </w:rPr>
        <w:t>单</w:t>
      </w:r>
      <w:r>
        <w:rPr>
          <w:rFonts w:hint="eastAsia" w:ascii="宋体" w:hAnsi="宋体" w:cs="Times New Roman" w:eastAsiaTheme="minorEastAsia"/>
          <w:b w:val="0"/>
          <w:bCs/>
          <w:kern w:val="0"/>
          <w:sz w:val="24"/>
          <w:szCs w:val="24"/>
          <w:highlight w:val="none"/>
          <w:lang w:val="en-US" w:eastAsia="zh-CN"/>
        </w:rPr>
        <w:t>位进行报价，具体要求及报价表格式如下：</w:t>
      </w:r>
    </w:p>
    <w:p w14:paraId="2FE53B39">
      <w:pPr>
        <w:pStyle w:val="2"/>
        <w:keepNext w:val="0"/>
        <w:keepLines w:val="0"/>
        <w:pageBreakBefore w:val="0"/>
        <w:widowControl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招标基本情况及范围</w:t>
      </w:r>
    </w:p>
    <w:p w14:paraId="7B3F612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r>
        <w:rPr>
          <w:rFonts w:hint="eastAsia" w:ascii="宋体" w:hAnsi="宋体" w:cs="Times New Roman" w:eastAsiaTheme="minorEastAsia"/>
          <w:b w:val="0"/>
          <w:bCs/>
          <w:kern w:val="0"/>
          <w:sz w:val="24"/>
          <w:szCs w:val="24"/>
          <w:lang w:val="en-US" w:eastAsia="zh-CN"/>
        </w:rPr>
        <w:t>①遂宁市安居区梧桐路片区城市污水管网整治及附属设施提升项目：对梧桐北路全线路灯安装、交安标志标线及信号灯和监控设备进行恢复，对梧桐南路全线约中央隔离栏以及节点信号灯和监控设备进行恢复；②遂宁市安居区城南旧城片区城市排水防涝整治建设项目：新建雨水管道约3.4km，管径DN300-DN1500。新建排水管道约6.5km，管径为d300-d1000。恢复道路长度约为5.6km，对道路的附属配套设施进行恢复，对道路周边存在混流情况的区域进行治理</w:t>
      </w:r>
      <w:r>
        <w:rPr>
          <w:rFonts w:hint="eastAsia" w:ascii="Times New Roman" w:hAnsi="Times New Roman" w:eastAsia="宋体" w:cs="Times New Roman"/>
          <w:kern w:val="0"/>
          <w:sz w:val="24"/>
          <w:highlight w:val="none"/>
          <w:lang w:val="en-US" w:eastAsia="zh-CN" w:bidi="ar-SA"/>
        </w:rPr>
        <w:t>。</w:t>
      </w:r>
    </w:p>
    <w:p w14:paraId="71720740">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Times New Roman" w:hAnsi="Times New Roman" w:eastAsia="宋体" w:cs="Times New Roman"/>
          <w:kern w:val="0"/>
          <w:sz w:val="24"/>
          <w:highlight w:val="none"/>
          <w:lang w:val="en-US" w:eastAsia="zh-CN" w:bidi="ar-SA"/>
        </w:rPr>
        <w:t>招标范围：一标段</w:t>
      </w:r>
      <w:r>
        <w:rPr>
          <w:rFonts w:hint="eastAsia" w:cs="Times New Roman"/>
          <w:kern w:val="0"/>
          <w:sz w:val="24"/>
          <w:highlight w:val="none"/>
          <w:lang w:val="en-US" w:eastAsia="zh-CN" w:bidi="ar-SA"/>
        </w:rPr>
        <w:t>：</w:t>
      </w:r>
      <w:r>
        <w:rPr>
          <w:rFonts w:hint="eastAsia" w:ascii="Times New Roman" w:hAnsi="Times New Roman" w:eastAsia="宋体" w:cs="Times New Roman"/>
          <w:kern w:val="0"/>
          <w:sz w:val="24"/>
          <w:highlight w:val="none"/>
          <w:lang w:val="en-US" w:eastAsia="zh-CN" w:bidi="ar-SA"/>
        </w:rPr>
        <w:t>梧桐北路人行道及车行道级配碎石垫层专业分包施工</w:t>
      </w:r>
      <w:r>
        <w:rPr>
          <w:rFonts w:hint="eastAsia" w:cs="Times New Roman"/>
          <w:kern w:val="0"/>
          <w:sz w:val="24"/>
          <w:highlight w:val="none"/>
          <w:lang w:val="en-US" w:eastAsia="zh-CN" w:bidi="ar-SA"/>
        </w:rPr>
        <w:t>。人行道及车行道级配碎石垫层专业分包</w:t>
      </w:r>
      <w:r>
        <w:rPr>
          <w:rFonts w:hint="eastAsia" w:ascii="Times New Roman" w:hAnsi="Times New Roman" w:eastAsia="宋体" w:cs="Times New Roman"/>
          <w:kern w:val="0"/>
          <w:sz w:val="24"/>
          <w:highlight w:val="none"/>
          <w:lang w:val="en-US" w:eastAsia="zh-CN" w:bidi="ar-SA"/>
        </w:rPr>
        <w:t>全部工程内容，具体内容详招标清单</w:t>
      </w:r>
      <w:r>
        <w:rPr>
          <w:rFonts w:hint="eastAsia" w:cs="Times New Roman"/>
          <w:kern w:val="0"/>
          <w:sz w:val="24"/>
          <w:highlight w:val="none"/>
          <w:lang w:val="en-US" w:eastAsia="zh-CN" w:bidi="ar-SA"/>
        </w:rPr>
        <w:t>（附件6）</w:t>
      </w:r>
      <w:r>
        <w:rPr>
          <w:rFonts w:hint="eastAsia" w:ascii="Times New Roman" w:hAnsi="Times New Roman" w:eastAsia="宋体" w:cs="Times New Roman"/>
          <w:kern w:val="0"/>
          <w:sz w:val="24"/>
          <w:highlight w:val="none"/>
          <w:lang w:val="en-US" w:eastAsia="zh-CN" w:bidi="ar-SA"/>
        </w:rPr>
        <w:t>及图纸。</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425" w:leftChars="0" w:hanging="425" w:firstLineChars="0"/>
        <w:jc w:val="center"/>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60</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425" w:leftChars="0" w:hanging="425" w:firstLineChars="0"/>
        <w:jc w:val="both"/>
        <w:textAlignment w:val="auto"/>
        <w:rPr>
          <w:rFonts w:hint="default"/>
          <w:highlight w:val="none"/>
          <w:lang w:val="en-US"/>
        </w:rPr>
      </w:pPr>
      <w:r>
        <w:rPr>
          <w:color w:val="auto"/>
          <w:highlight w:val="none"/>
          <w:u w:val="none"/>
        </w:rPr>
        <w:t>施工要求：满足施工图纸及现行相关规范要求，经相关部门验收合格。</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5AFFDD2">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投标人须具备独立企业法人资格。（不接受自然人参与本项目投标）</w:t>
      </w:r>
    </w:p>
    <w:p w14:paraId="42EF7F6B">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rFonts w:eastAsia="宋体"/>
          <w:color w:val="auto"/>
          <w:highlight w:val="none"/>
        </w:rPr>
        <w:t>须</w:t>
      </w:r>
      <w:r>
        <w:rPr>
          <w:rFonts w:hint="eastAsia" w:ascii="宋体" w:hAnsi="宋体" w:cs="Times New Roman" w:eastAsiaTheme="minorEastAsia"/>
          <w:b w:val="0"/>
          <w:bCs/>
          <w:kern w:val="0"/>
          <w:sz w:val="24"/>
          <w:szCs w:val="24"/>
          <w:highlight w:val="none"/>
          <w:lang w:eastAsia="zh-CN"/>
        </w:rPr>
        <w:t>具备建设行政主管部门核发的</w:t>
      </w:r>
      <w:r>
        <w:rPr>
          <w:rFonts w:hint="eastAsia" w:ascii="宋体" w:hAnsi="宋体" w:cs="Times New Roman" w:eastAsiaTheme="minorEastAsia"/>
          <w:b w:val="0"/>
          <w:bCs/>
          <w:kern w:val="0"/>
          <w:sz w:val="24"/>
          <w:szCs w:val="24"/>
          <w:lang w:val="en-US" w:eastAsia="zh-CN"/>
        </w:rPr>
        <w:t>市政公用工程施工总承包三级及其以上资质</w:t>
      </w:r>
      <w:r>
        <w:rPr>
          <w:rFonts w:hint="eastAsia" w:ascii="宋体" w:hAnsi="宋体" w:cs="Times New Roman" w:eastAsiaTheme="minorEastAsia"/>
          <w:b w:val="0"/>
          <w:bCs/>
          <w:kern w:val="0"/>
          <w:sz w:val="24"/>
          <w:szCs w:val="24"/>
          <w:lang w:eastAsia="zh-CN"/>
        </w:rPr>
        <w:t>，具备有效的安全生产许可证</w:t>
      </w:r>
      <w:r>
        <w:rPr>
          <w:rFonts w:hint="eastAsia" w:ascii="宋体" w:hAnsi="宋体" w:cs="Times New Roman" w:eastAsiaTheme="minorEastAsia"/>
          <w:b w:val="0"/>
          <w:bCs/>
          <w:kern w:val="0"/>
          <w:sz w:val="24"/>
          <w:szCs w:val="24"/>
          <w:highlight w:val="none"/>
          <w:lang w:eastAsia="zh-CN"/>
        </w:rPr>
        <w:t>。</w:t>
      </w:r>
    </w:p>
    <w:p w14:paraId="75E43BA3">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技术</w:t>
      </w:r>
      <w:r>
        <w:rPr>
          <w:rFonts w:hint="eastAsia" w:ascii="宋体" w:hAnsi="宋体" w:cs="Times New Roman" w:eastAsiaTheme="minorEastAsia"/>
          <w:b w:val="0"/>
          <w:bCs/>
          <w:kern w:val="0"/>
          <w:sz w:val="24"/>
          <w:szCs w:val="24"/>
          <w:highlight w:val="none"/>
          <w:lang w:val="en-US" w:eastAsia="zh-CN"/>
        </w:rPr>
        <w:t>及人员</w:t>
      </w:r>
      <w:r>
        <w:rPr>
          <w:rFonts w:hint="eastAsia" w:ascii="宋体" w:hAnsi="宋体" w:cs="Times New Roman" w:eastAsiaTheme="minorEastAsia"/>
          <w:b w:val="0"/>
          <w:bCs/>
          <w:kern w:val="0"/>
          <w:sz w:val="24"/>
          <w:szCs w:val="24"/>
          <w:highlight w:val="none"/>
          <w:lang w:eastAsia="zh-CN"/>
        </w:rPr>
        <w:t>要求：具有履行合同所必需的设备和专业技术能力（包含</w:t>
      </w:r>
      <w:r>
        <w:rPr>
          <w:rFonts w:hint="eastAsia" w:ascii="宋体" w:hAnsi="宋体" w:cs="Times New Roman" w:eastAsiaTheme="minorEastAsia"/>
          <w:b w:val="0"/>
          <w:bCs/>
          <w:kern w:val="0"/>
          <w:sz w:val="24"/>
          <w:szCs w:val="24"/>
          <w:highlight w:val="none"/>
          <w:lang w:val="en-US" w:eastAsia="zh-CN"/>
        </w:rPr>
        <w:t>具有市政二级建造师或市政施工员证书的</w:t>
      </w:r>
      <w:r>
        <w:rPr>
          <w:rFonts w:hint="eastAsia" w:ascii="宋体" w:hAnsi="宋体" w:cs="Times New Roman" w:eastAsiaTheme="minorEastAsia"/>
          <w:b w:val="0"/>
          <w:bCs/>
          <w:kern w:val="0"/>
          <w:sz w:val="24"/>
          <w:szCs w:val="24"/>
          <w:highlight w:val="none"/>
          <w:lang w:eastAsia="zh-CN"/>
        </w:rPr>
        <w:t>现场施工管理人员</w:t>
      </w:r>
      <w:r>
        <w:rPr>
          <w:rFonts w:hint="eastAsia" w:ascii="宋体" w:hAnsi="宋体" w:cs="Times New Roman" w:eastAsiaTheme="minorEastAsia"/>
          <w:b w:val="0"/>
          <w:bCs/>
          <w:kern w:val="0"/>
          <w:sz w:val="24"/>
          <w:szCs w:val="24"/>
          <w:highlight w:val="none"/>
          <w:lang w:val="en-US" w:eastAsia="zh-CN"/>
        </w:rPr>
        <w:t>1</w:t>
      </w:r>
      <w:r>
        <w:rPr>
          <w:rFonts w:hint="eastAsia" w:ascii="宋体" w:hAnsi="宋体" w:cs="Times New Roman" w:eastAsiaTheme="minorEastAsia"/>
          <w:b w:val="0"/>
          <w:bCs/>
          <w:kern w:val="0"/>
          <w:sz w:val="24"/>
          <w:szCs w:val="24"/>
          <w:highlight w:val="none"/>
          <w:lang w:eastAsia="zh-CN"/>
        </w:rPr>
        <w:t>名，</w:t>
      </w:r>
      <w:r>
        <w:rPr>
          <w:rFonts w:hint="eastAsia" w:ascii="宋体" w:hAnsi="宋体" w:cs="Times New Roman" w:eastAsiaTheme="minorEastAsia"/>
          <w:b w:val="0"/>
          <w:bCs/>
          <w:kern w:val="0"/>
          <w:sz w:val="24"/>
          <w:szCs w:val="24"/>
          <w:highlight w:val="none"/>
          <w:lang w:val="en-US" w:eastAsia="zh-CN"/>
        </w:rPr>
        <w:t>具有安全员证书的</w:t>
      </w:r>
      <w:r>
        <w:rPr>
          <w:rFonts w:hint="eastAsia" w:ascii="宋体" w:hAnsi="宋体" w:cs="Times New Roman" w:eastAsiaTheme="minorEastAsia"/>
          <w:b w:val="0"/>
          <w:bCs/>
          <w:kern w:val="0"/>
          <w:sz w:val="24"/>
          <w:szCs w:val="24"/>
          <w:highlight w:val="none"/>
          <w:lang w:eastAsia="zh-CN"/>
        </w:rPr>
        <w:t>安全协管人员不低于1人，</w:t>
      </w:r>
      <w:r>
        <w:rPr>
          <w:rFonts w:hint="eastAsia" w:ascii="宋体" w:hAnsi="宋体" w:cs="Times New Roman" w:eastAsiaTheme="minorEastAsia"/>
          <w:b w:val="0"/>
          <w:bCs/>
          <w:kern w:val="0"/>
          <w:sz w:val="24"/>
          <w:szCs w:val="24"/>
          <w:highlight w:val="none"/>
          <w:lang w:val="en-US" w:eastAsia="zh-CN"/>
        </w:rPr>
        <w:t>资料</w:t>
      </w:r>
      <w:r>
        <w:rPr>
          <w:rFonts w:hint="eastAsia" w:ascii="宋体" w:hAnsi="宋体" w:cs="Times New Roman" w:eastAsiaTheme="minorEastAsia"/>
          <w:b w:val="0"/>
          <w:bCs/>
          <w:kern w:val="0"/>
          <w:sz w:val="24"/>
          <w:szCs w:val="24"/>
          <w:highlight w:val="none"/>
          <w:lang w:eastAsia="zh-CN"/>
        </w:rPr>
        <w:t>管理人员1人，</w:t>
      </w:r>
      <w:r>
        <w:rPr>
          <w:rFonts w:hint="eastAsia" w:ascii="宋体" w:hAnsi="宋体" w:cs="Times New Roman" w:eastAsiaTheme="minorEastAsia"/>
          <w:b w:val="0"/>
          <w:bCs/>
          <w:kern w:val="0"/>
          <w:sz w:val="24"/>
          <w:szCs w:val="24"/>
          <w:highlight w:val="none"/>
          <w:lang w:val="en-US" w:eastAsia="zh-CN"/>
        </w:rPr>
        <w:t>劳务造价专员1名</w:t>
      </w:r>
      <w:r>
        <w:rPr>
          <w:rFonts w:hint="eastAsia" w:ascii="宋体" w:hAnsi="宋体" w:cs="Times New Roman" w:eastAsiaTheme="minorEastAsia"/>
          <w:b w:val="0"/>
          <w:bCs/>
          <w:kern w:val="0"/>
          <w:sz w:val="24"/>
          <w:szCs w:val="24"/>
          <w:highlight w:val="none"/>
          <w:lang w:eastAsia="zh-CN"/>
        </w:rPr>
        <w:t>，</w:t>
      </w:r>
      <w:r>
        <w:rPr>
          <w:rFonts w:hint="eastAsia" w:ascii="宋体" w:hAnsi="宋体" w:cs="Times New Roman" w:eastAsiaTheme="minorEastAsia"/>
          <w:b w:val="0"/>
          <w:bCs/>
          <w:kern w:val="0"/>
          <w:sz w:val="24"/>
          <w:szCs w:val="24"/>
          <w:highlight w:val="none"/>
          <w:lang w:val="en-US" w:eastAsia="zh-CN"/>
        </w:rPr>
        <w:t>材料员1名（劳务员、造价专员、材料员三个岗位可一人兼2个岗位（最少2人），其他管理岗位不得兼职）需</w:t>
      </w:r>
      <w:r>
        <w:rPr>
          <w:rFonts w:hint="eastAsia" w:ascii="宋体" w:hAnsi="宋体" w:cs="Times New Roman" w:eastAsiaTheme="minorEastAsia"/>
          <w:b w:val="0"/>
          <w:bCs/>
          <w:kern w:val="0"/>
          <w:sz w:val="24"/>
          <w:szCs w:val="24"/>
          <w:highlight w:val="none"/>
          <w:lang w:eastAsia="zh-CN"/>
        </w:rPr>
        <w:t>提供</w:t>
      </w:r>
      <w:r>
        <w:rPr>
          <w:rFonts w:hint="eastAsia" w:ascii="宋体" w:hAnsi="宋体" w:cs="Times New Roman" w:eastAsiaTheme="minorEastAsia"/>
          <w:b w:val="0"/>
          <w:bCs/>
          <w:kern w:val="0"/>
          <w:sz w:val="24"/>
          <w:szCs w:val="24"/>
          <w:highlight w:val="none"/>
          <w:lang w:val="en-US" w:eastAsia="zh-CN"/>
        </w:rPr>
        <w:t>人员与投标单位签订的劳动合同</w:t>
      </w:r>
      <w:r>
        <w:rPr>
          <w:rFonts w:hint="eastAsia" w:ascii="宋体" w:hAnsi="宋体" w:cs="Times New Roman" w:eastAsiaTheme="minorEastAsia"/>
          <w:b w:val="0"/>
          <w:bCs/>
          <w:kern w:val="0"/>
          <w:sz w:val="24"/>
          <w:szCs w:val="24"/>
          <w:highlight w:val="none"/>
          <w:lang w:eastAsia="zh-CN"/>
        </w:rPr>
        <w:t>）。</w:t>
      </w:r>
    </w:p>
    <w:p w14:paraId="6D457CAE">
      <w:pPr>
        <w:pStyle w:val="4"/>
        <w:keepNext w:val="0"/>
        <w:keepLines w:val="0"/>
        <w:pageBreakBefore w:val="0"/>
        <w:widowControl w:val="0"/>
        <w:numPr>
          <w:ilvl w:val="0"/>
          <w:numId w:val="3"/>
        </w:numPr>
        <w:kinsoku/>
        <w:wordWrap/>
        <w:overflowPunct/>
        <w:topLinePunct w:val="0"/>
        <w:autoSpaceDE/>
        <w:autoSpaceDN/>
        <w:bidi w:val="0"/>
        <w:adjustRightInd/>
        <w:snapToGrid/>
        <w:spacing w:after="0"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72112420">
      <w:pPr>
        <w:pStyle w:val="4"/>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pPr>
      <w:r>
        <w:rPr>
          <w:rFonts w:hint="eastAsia" w:cs="Times New Roman"/>
          <w:b/>
          <w:bCs/>
          <w:color w:val="auto"/>
          <w:highlight w:val="none"/>
          <w:lang w:val="en-US" w:eastAsia="zh-CN"/>
        </w:rPr>
        <w:t>控制价为：</w:t>
      </w:r>
      <w:r>
        <w:rPr>
          <w:rFonts w:hint="eastAsia" w:cs="Times New Roman"/>
          <w:b/>
          <w:bCs/>
          <w:color w:val="auto"/>
          <w:highlight w:val="none"/>
          <w:u w:val="single"/>
          <w:lang w:val="en-US" w:eastAsia="zh-CN"/>
        </w:rPr>
        <w:t xml:space="preserve"> 3939000.60 </w:t>
      </w:r>
      <w:r>
        <w:rPr>
          <w:rFonts w:hint="eastAsia" w:ascii="Times New Roman" w:hAnsi="Times New Roman" w:eastAsia="宋体" w:cs="Times New Roman"/>
          <w:b/>
          <w:bCs/>
          <w:color w:val="auto"/>
          <w:highlight w:val="none"/>
          <w:u w:val="single"/>
          <w:lang w:val="en-US" w:eastAsia="zh-CN"/>
        </w:rPr>
        <w:t>元</w:t>
      </w:r>
      <w:r>
        <w:rPr>
          <w:rFonts w:hint="eastAsia" w:ascii="宋体" w:hAnsi="宋体" w:cs="Times New Roman" w:eastAsiaTheme="minorEastAsia"/>
          <w:b/>
          <w:bCs/>
          <w:kern w:val="0"/>
          <w:sz w:val="24"/>
          <w:szCs w:val="24"/>
          <w:highlight w:val="none"/>
          <w:lang w:val="en-US" w:eastAsia="zh-CN"/>
        </w:rPr>
        <w:t>(大写：叁佰玖拾叁万玖仟元陆角）</w:t>
      </w:r>
      <w:r>
        <w:rPr>
          <w:rFonts w:hint="eastAsia" w:ascii="宋体" w:hAnsi="宋体" w:cs="Times New Roman" w:eastAsiaTheme="minorEastAsia"/>
          <w:b w:val="0"/>
          <w:bCs/>
          <w:kern w:val="0"/>
          <w:sz w:val="24"/>
          <w:szCs w:val="24"/>
          <w:highlight w:val="none"/>
          <w:lang w:val="en-US" w:eastAsia="zh-CN"/>
        </w:rPr>
        <w:t>，以清单总价报下浮比例（详附件6），</w:t>
      </w:r>
      <w:r>
        <w:rPr>
          <w:rFonts w:hint="default" w:eastAsia="宋体"/>
          <w:color w:val="auto"/>
          <w:highlight w:val="none"/>
          <w:lang w:val="en-US" w:eastAsia="zh-CN"/>
        </w:rPr>
        <w:t>总价下浮</w:t>
      </w:r>
      <w:r>
        <w:rPr>
          <w:rFonts w:hint="eastAsia" w:eastAsia="宋体"/>
          <w:color w:val="auto"/>
          <w:highlight w:val="none"/>
          <w:lang w:val="en-US" w:eastAsia="zh-CN"/>
        </w:rPr>
        <w:t>1</w:t>
      </w:r>
      <w:r>
        <w:rPr>
          <w:rFonts w:hint="eastAsia"/>
          <w:color w:val="auto"/>
          <w:highlight w:val="none"/>
          <w:lang w:val="en-US" w:eastAsia="zh-CN"/>
        </w:rPr>
        <w:t>0</w:t>
      </w:r>
      <w:r>
        <w:rPr>
          <w:rFonts w:hint="eastAsia" w:eastAsia="宋体"/>
          <w:color w:val="auto"/>
          <w:highlight w:val="none"/>
          <w:lang w:val="en-US" w:eastAsia="zh-CN"/>
        </w:rPr>
        <w:t>%作为最高限价，投标下浮率小于或等于1</w:t>
      </w:r>
      <w:r>
        <w:rPr>
          <w:rFonts w:hint="eastAsia"/>
          <w:color w:val="auto"/>
          <w:highlight w:val="none"/>
          <w:lang w:val="en-US" w:eastAsia="zh-CN"/>
        </w:rPr>
        <w:t>0</w:t>
      </w:r>
      <w:r>
        <w:rPr>
          <w:rFonts w:hint="eastAsia" w:eastAsia="宋体"/>
          <w:color w:val="auto"/>
          <w:highlight w:val="none"/>
          <w:lang w:val="en-US" w:eastAsia="zh-CN"/>
        </w:rPr>
        <w:t>%视为废标</w:t>
      </w:r>
      <w:r>
        <w:rPr>
          <w:rFonts w:hint="eastAsia" w:ascii="宋体" w:hAnsi="宋体" w:cs="Times New Roman" w:eastAsiaTheme="minorEastAsia"/>
          <w:b w:val="0"/>
          <w:bCs/>
          <w:kern w:val="0"/>
          <w:sz w:val="24"/>
          <w:szCs w:val="24"/>
          <w:highlight w:val="none"/>
          <w:lang w:val="en-US" w:eastAsia="zh-CN"/>
        </w:rPr>
        <w:t>。本次招标的分包单位需根据招标工作内容、工程清单及图纸自行考虑并报价，</w:t>
      </w:r>
      <w:r>
        <w:rPr>
          <w:rFonts w:ascii="宋体" w:hAnsi="宋体" w:eastAsia="宋体" w:cs="宋体"/>
          <w:sz w:val="24"/>
          <w:szCs w:val="24"/>
          <w:highlight w:val="none"/>
        </w:rPr>
        <w:t>工程结算费最终以竣工验收合格后业主认可的工程造价、及我单位的控制价进行下浮（下浮</w:t>
      </w:r>
      <w:r>
        <w:rPr>
          <w:rFonts w:hint="eastAsia" w:ascii="宋体" w:hAnsi="宋体" w:cs="宋体"/>
          <w:sz w:val="24"/>
          <w:szCs w:val="24"/>
          <w:highlight w:val="none"/>
          <w:lang w:val="en-US" w:eastAsia="zh-CN"/>
        </w:rPr>
        <w:t>比例与中标</w:t>
      </w:r>
      <w:r>
        <w:rPr>
          <w:rFonts w:ascii="宋体" w:hAnsi="宋体" w:eastAsia="宋体" w:cs="宋体"/>
          <w:sz w:val="24"/>
          <w:szCs w:val="24"/>
          <w:highlight w:val="none"/>
        </w:rPr>
        <w:t>下浮率一致）</w:t>
      </w:r>
      <w:r>
        <w:rPr>
          <w:rFonts w:hint="eastAsia" w:ascii="宋体" w:hAnsi="宋体" w:cs="Times New Roman" w:eastAsiaTheme="minorEastAsia"/>
          <w:b w:val="0"/>
          <w:bCs/>
          <w:kern w:val="0"/>
          <w:sz w:val="24"/>
          <w:szCs w:val="24"/>
          <w:highlight w:val="none"/>
          <w:lang w:eastAsia="zh-CN"/>
        </w:rPr>
        <w:t>。</w:t>
      </w:r>
    </w:p>
    <w:p w14:paraId="59A0A9A4">
      <w:pPr>
        <w:pStyle w:val="4"/>
        <w:keepNext w:val="0"/>
        <w:keepLines w:val="0"/>
        <w:pageBreakBefore w:val="0"/>
        <w:widowControl/>
        <w:numPr>
          <w:ilvl w:val="0"/>
          <w:numId w:val="3"/>
        </w:numPr>
        <w:kinsoku/>
        <w:wordWrap/>
        <w:overflowPunct/>
        <w:topLinePunct w:val="0"/>
        <w:autoSpaceDE/>
        <w:autoSpaceDN/>
        <w:bidi w:val="0"/>
        <w:adjustRightInd/>
        <w:snapToGrid/>
        <w:spacing w:after="0" w:line="360" w:lineRule="auto"/>
        <w:ind w:left="0" w:leftChars="0" w:firstLine="482" w:firstLineChars="200"/>
        <w:jc w:val="left"/>
        <w:textAlignment w:val="auto"/>
        <w:rPr>
          <w:rFonts w:hint="eastAsia"/>
          <w:b/>
          <w:bCs/>
          <w:color w:val="auto"/>
          <w:highlight w:val="none"/>
          <w:lang w:val="en-US" w:eastAsia="zh-CN"/>
        </w:rPr>
      </w:pPr>
      <w:r>
        <w:rPr>
          <w:b/>
          <w:bCs/>
          <w:color w:val="auto"/>
          <w:highlight w:val="none"/>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b/>
          <w:bCs/>
          <w:color w:val="auto"/>
          <w:highlight w:val="none"/>
        </w:rPr>
        <w:t>新增、变更工程按</w:t>
      </w:r>
      <w:r>
        <w:rPr>
          <w:rFonts w:hint="eastAsia"/>
          <w:b/>
          <w:bCs/>
          <w:color w:val="auto"/>
          <w:highlight w:val="none"/>
          <w:lang w:val="en-US" w:eastAsia="zh-CN"/>
        </w:rPr>
        <w:t>业主</w:t>
      </w:r>
      <w:r>
        <w:rPr>
          <w:b/>
          <w:bCs/>
          <w:color w:val="auto"/>
          <w:highlight w:val="none"/>
        </w:rPr>
        <w:t>审定的已完成工程</w:t>
      </w:r>
      <w:r>
        <w:rPr>
          <w:rFonts w:hint="eastAsia"/>
          <w:b/>
          <w:bCs/>
          <w:color w:val="auto"/>
          <w:highlight w:val="none"/>
          <w:lang w:val="en-US" w:eastAsia="zh-CN"/>
        </w:rPr>
        <w:t>产值按分包单位下浮后的</w:t>
      </w:r>
      <w:r>
        <w:rPr>
          <w:b/>
          <w:bCs/>
          <w:color w:val="auto"/>
          <w:highlight w:val="none"/>
        </w:rPr>
        <w:t>50%</w:t>
      </w:r>
      <w:r>
        <w:rPr>
          <w:rFonts w:hint="eastAsia"/>
          <w:b/>
          <w:bCs/>
          <w:color w:val="auto"/>
          <w:highlight w:val="none"/>
          <w:lang w:val="en-US" w:eastAsia="zh-CN"/>
        </w:rPr>
        <w:t>计入进度，随进度支付条款</w:t>
      </w:r>
      <w:r>
        <w:rPr>
          <w:b/>
          <w:bCs/>
          <w:color w:val="auto"/>
          <w:highlight w:val="none"/>
        </w:rPr>
        <w:t>进行拨付，剩余部分待审计结束后支付至结算总价的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b/>
          <w:bCs/>
          <w:color w:val="auto"/>
          <w:highlight w:val="none"/>
        </w:rPr>
        <w:t>。</w:t>
      </w:r>
      <w:r>
        <w:rPr>
          <w:rFonts w:hint="eastAsia"/>
          <w:b/>
          <w:bCs/>
          <w:color w:val="auto"/>
          <w:highlight w:val="none"/>
          <w:lang w:val="en-US" w:eastAsia="zh-CN"/>
        </w:rPr>
        <w:t xml:space="preserve"> </w:t>
      </w:r>
    </w:p>
    <w:p w14:paraId="6B327C1B">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00187DD3">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cs="Times New Roman"/>
          <w:color w:val="auto"/>
          <w:kern w:val="2"/>
          <w:sz w:val="24"/>
          <w:highlight w:val="none"/>
          <w:u w:val="none"/>
          <w:lang w:val="en-US" w:eastAsia="zh-CN" w:bidi="ar-SA"/>
        </w:rPr>
      </w:pPr>
      <w:r>
        <w:rPr>
          <w:rFonts w:hint="eastAsia" w:ascii="Times New Roman" w:hAnsi="Times New Roman" w:cs="Times New Roman"/>
          <w:color w:val="auto"/>
          <w:kern w:val="2"/>
          <w:sz w:val="24"/>
          <w:highlight w:val="none"/>
          <w:u w:val="none"/>
          <w:lang w:val="en-US" w:eastAsia="zh-CN" w:bidi="ar-SA"/>
        </w:rPr>
        <w:t>下浮比例最高</w:t>
      </w:r>
      <w:r>
        <w:rPr>
          <w:rFonts w:hint="default" w:ascii="Times New Roman" w:hAnsi="Times New Roman" w:cs="Times New Roman"/>
          <w:color w:val="auto"/>
          <w:kern w:val="2"/>
          <w:sz w:val="24"/>
          <w:highlight w:val="none"/>
          <w:u w:val="none"/>
          <w:lang w:val="en-US" w:eastAsia="zh-CN" w:bidi="ar-SA"/>
        </w:rPr>
        <w:t>的单位</w:t>
      </w:r>
      <w:r>
        <w:rPr>
          <w:rFonts w:hint="eastAsia" w:ascii="Times New Roman" w:hAnsi="Times New Roman" w:cs="Times New Roman"/>
          <w:color w:val="auto"/>
          <w:kern w:val="2"/>
          <w:sz w:val="24"/>
          <w:highlight w:val="none"/>
          <w:u w:val="none"/>
          <w:lang w:val="en-US" w:eastAsia="zh-CN" w:bidi="ar-SA"/>
        </w:rPr>
        <w:t>中选。（若出现两家及以上单位报价相同则采取抽乒乓球方式确定中选单位，抽取方式：在密闭箱内放入与参与抽取的比选申请人相同数量的乒乓球，且乒乓球在密闭箱中抓取号球，由抽到号球1的单位中选。</w:t>
      </w:r>
      <w:r>
        <w:rPr>
          <w:rFonts w:hint="eastAsia" w:cs="Times New Roman"/>
          <w:color w:val="auto"/>
          <w:kern w:val="2"/>
          <w:sz w:val="24"/>
          <w:highlight w:val="none"/>
          <w:u w:val="none"/>
          <w:lang w:val="en-US" w:eastAsia="zh-CN" w:bidi="ar-SA"/>
        </w:rPr>
        <w:t>）</w:t>
      </w:r>
    </w:p>
    <w:p w14:paraId="6BE1F8F6">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5.定标：</w:t>
      </w:r>
    </w:p>
    <w:p w14:paraId="3EFCBC47">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原则上应</w:t>
      </w:r>
      <w:r>
        <w:rPr>
          <w:rFonts w:hint="eastAsia" w:ascii="Times New Roman" w:hAnsi="Times New Roman" w:eastAsia="宋体" w:cs="Times New Roman"/>
          <w:color w:val="auto"/>
          <w:kern w:val="2"/>
          <w:sz w:val="24"/>
          <w:highlight w:val="none"/>
          <w:u w:val="none"/>
          <w:lang w:val="en-US" w:eastAsia="zh-CN" w:bidi="ar-SA"/>
        </w:rPr>
        <w:t>当</w:t>
      </w:r>
      <w:r>
        <w:rPr>
          <w:rFonts w:hint="eastAsia" w:cs="Times New Roman"/>
          <w:color w:val="auto"/>
          <w:kern w:val="2"/>
          <w:sz w:val="24"/>
          <w:highlight w:val="none"/>
          <w:u w:val="none"/>
          <w:lang w:val="en-US" w:eastAsia="zh-CN" w:bidi="ar-SA"/>
        </w:rPr>
        <w:t>下浮比例最高</w:t>
      </w:r>
      <w:r>
        <w:rPr>
          <w:rFonts w:hint="eastAsia" w:ascii="Times New Roman" w:hAnsi="Times New Roman" w:eastAsia="宋体" w:cs="Times New Roman"/>
          <w:color w:val="auto"/>
          <w:kern w:val="2"/>
          <w:sz w:val="24"/>
          <w:highlight w:val="none"/>
          <w:u w:val="none"/>
          <w:lang w:val="en-US" w:eastAsia="zh-CN" w:bidi="ar-SA"/>
        </w:rPr>
        <w:t>的单位确定为</w:t>
      </w:r>
      <w:r>
        <w:rPr>
          <w:rFonts w:hint="eastAsia" w:ascii="宋体" w:hAnsi="宋体" w:cs="Times New Roman" w:eastAsiaTheme="minorEastAsia"/>
          <w:b w:val="0"/>
          <w:bCs/>
          <w:kern w:val="0"/>
          <w:sz w:val="24"/>
          <w:szCs w:val="24"/>
          <w:highlight w:val="none"/>
          <w:lang w:val="en-US" w:eastAsia="zh-CN"/>
        </w:rPr>
        <w:t>拟中标单位。中标单位放弃中标、因不可抗力不能履行合同，或者被查实存在影响中标结果的违法行为等情形，不符合中标条件的，可以依次确认其他中标候选人为拟中标人，也可以重新招标。</w:t>
      </w:r>
    </w:p>
    <w:p w14:paraId="6C3C2B89">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若投标单位存在提供虚假资料或项目管理人员与实际现场不一致等违规行为，将取消其投标资格。取消一次限制3个月参与投标，从发现违规行为之日起计算。</w:t>
      </w:r>
    </w:p>
    <w:p w14:paraId="50B6926B">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各投标单位需在2025年11月23日17点前向鹏安公司</w:t>
      </w:r>
      <w:r>
        <w:rPr>
          <w:rFonts w:hint="eastAsia" w:ascii="宋体" w:hAnsi="宋体" w:cs="Times New Roman" w:eastAsiaTheme="minorEastAsia"/>
          <w:b/>
          <w:bCs w:val="0"/>
          <w:kern w:val="0"/>
          <w:sz w:val="24"/>
          <w:szCs w:val="24"/>
          <w:highlight w:val="none"/>
          <w:lang w:val="en-US" w:eastAsia="zh-CN"/>
        </w:rPr>
        <w:t>缴纳投标保证金，金额为5000元（详附件5，并提供转款凭证）</w:t>
      </w:r>
      <w:r>
        <w:rPr>
          <w:rFonts w:hint="eastAsia" w:ascii="宋体" w:hAnsi="宋体" w:cs="Times New Roman" w:eastAsiaTheme="minorEastAsia"/>
          <w:b w:val="0"/>
          <w:bCs/>
          <w:kern w:val="0"/>
          <w:sz w:val="24"/>
          <w:szCs w:val="24"/>
          <w:highlight w:val="none"/>
          <w:lang w:val="en-US" w:eastAsia="zh-CN"/>
        </w:rPr>
        <w:t xml:space="preserve">，公示中标后未中标单位7个工作日内原路退回，中标单位签订合同后原路退回。若因中标单位自身原因放弃中标资格的，保证金不予退还。  </w:t>
      </w:r>
      <w:r>
        <w:rPr>
          <w:rFonts w:hint="eastAsia" w:ascii="宋体" w:hAnsi="宋体" w:cs="Times New Roman" w:eastAsiaTheme="minorEastAsia"/>
          <w:b/>
          <w:bCs w:val="0"/>
          <w:kern w:val="0"/>
          <w:sz w:val="24"/>
          <w:szCs w:val="24"/>
          <w:highlight w:val="none"/>
          <w:lang w:val="en-US" w:eastAsia="zh-CN"/>
        </w:rPr>
        <w:t xml:space="preserve">         </w:t>
      </w:r>
    </w:p>
    <w:p w14:paraId="4C9BF691">
      <w:pPr>
        <w:widowControl/>
        <w:numPr>
          <w:ilvl w:val="0"/>
          <w:numId w:val="0"/>
        </w:numPr>
        <w:spacing w:line="360" w:lineRule="auto"/>
        <w:ind w:leftChars="200"/>
        <w:jc w:val="lef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Hans"/>
        </w:rPr>
        <w:t>收款账户</w:t>
      </w:r>
      <w:r>
        <w:rPr>
          <w:rFonts w:hint="eastAsia" w:ascii="宋体" w:hAnsi="宋体" w:eastAsia="宋体" w:cs="宋体"/>
          <w:b w:val="0"/>
          <w:bCs w:val="0"/>
          <w:color w:val="auto"/>
          <w:sz w:val="21"/>
          <w:szCs w:val="21"/>
          <w:highlight w:val="none"/>
          <w:lang w:val="en-US" w:eastAsia="zh-CN"/>
        </w:rPr>
        <w:t>户名：</w:t>
      </w:r>
      <w:r>
        <w:rPr>
          <w:rFonts w:hint="eastAsia" w:ascii="宋体" w:hAnsi="宋体" w:eastAsia="宋体" w:cs="宋体"/>
          <w:b w:val="0"/>
          <w:bCs w:val="0"/>
          <w:color w:val="auto"/>
          <w:sz w:val="21"/>
          <w:szCs w:val="21"/>
          <w:highlight w:val="none"/>
          <w:u w:val="single"/>
          <w:lang w:val="en-US" w:eastAsia="zh-CN"/>
        </w:rPr>
        <w:t xml:space="preserve"> 遂宁市鹏安投资</w:t>
      </w:r>
      <w:bookmarkStart w:id="0" w:name="_GoBack"/>
      <w:bookmarkEnd w:id="0"/>
      <w:r>
        <w:rPr>
          <w:rFonts w:hint="eastAsia" w:ascii="宋体" w:hAnsi="宋体" w:eastAsia="宋体" w:cs="宋体"/>
          <w:b w:val="0"/>
          <w:bCs w:val="0"/>
          <w:color w:val="auto"/>
          <w:sz w:val="21"/>
          <w:szCs w:val="21"/>
          <w:highlight w:val="none"/>
          <w:u w:val="single"/>
          <w:lang w:val="en-US" w:eastAsia="zh-CN"/>
        </w:rPr>
        <w:t xml:space="preserve">有限公司 </w:t>
      </w:r>
      <w:r>
        <w:rPr>
          <w:rFonts w:hint="eastAsia" w:ascii="宋体" w:hAnsi="宋体" w:eastAsia="宋体" w:cs="宋体"/>
          <w:b w:val="0"/>
          <w:bCs w:val="0"/>
          <w:color w:val="auto"/>
          <w:sz w:val="21"/>
          <w:szCs w:val="21"/>
          <w:highlight w:val="none"/>
          <w:lang w:val="en-US" w:eastAsia="zh-CN"/>
        </w:rPr>
        <w:t>；</w:t>
      </w:r>
    </w:p>
    <w:p w14:paraId="7C1F1F86">
      <w:pPr>
        <w:widowControl/>
        <w:numPr>
          <w:ilvl w:val="0"/>
          <w:numId w:val="0"/>
        </w:numPr>
        <w:spacing w:line="360" w:lineRule="auto"/>
        <w:ind w:leftChars="200"/>
        <w:jc w:val="lef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卡号：</w:t>
      </w:r>
      <w:r>
        <w:rPr>
          <w:rFonts w:hint="eastAsia" w:ascii="宋体" w:hAnsi="宋体" w:eastAsia="宋体" w:cs="宋体"/>
          <w:b w:val="0"/>
          <w:bCs w:val="0"/>
          <w:color w:val="auto"/>
          <w:sz w:val="21"/>
          <w:szCs w:val="21"/>
          <w:highlight w:val="none"/>
          <w:u w:val="single"/>
          <w:lang w:val="en-US" w:eastAsia="zh-CN"/>
        </w:rPr>
        <w:t xml:space="preserve"> 22320601040009472  </w:t>
      </w:r>
      <w:r>
        <w:rPr>
          <w:rFonts w:hint="eastAsia" w:ascii="宋体" w:hAnsi="宋体" w:eastAsia="宋体" w:cs="宋体"/>
          <w:b w:val="0"/>
          <w:bCs w:val="0"/>
          <w:color w:val="auto"/>
          <w:sz w:val="21"/>
          <w:szCs w:val="21"/>
          <w:highlight w:val="none"/>
          <w:lang w:val="en-US" w:eastAsia="zh-CN"/>
        </w:rPr>
        <w:t xml:space="preserve">；    </w:t>
      </w:r>
    </w:p>
    <w:p w14:paraId="6FF1EB0F">
      <w:pPr>
        <w:widowControl/>
        <w:numPr>
          <w:ilvl w:val="0"/>
          <w:numId w:val="0"/>
        </w:numPr>
        <w:spacing w:line="360" w:lineRule="auto"/>
        <w:ind w:left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eastAsia="宋体" w:cs="宋体"/>
          <w:b w:val="0"/>
          <w:bCs w:val="0"/>
          <w:color w:val="auto"/>
          <w:sz w:val="21"/>
          <w:szCs w:val="21"/>
          <w:highlight w:val="none"/>
          <w:lang w:val="en-US" w:eastAsia="zh-CN"/>
        </w:rPr>
        <w:t>开户行：</w:t>
      </w:r>
      <w:r>
        <w:rPr>
          <w:rFonts w:hint="eastAsia" w:ascii="宋体" w:hAnsi="宋体" w:eastAsia="宋体" w:cs="宋体"/>
          <w:b w:val="0"/>
          <w:bCs w:val="0"/>
          <w:color w:val="auto"/>
          <w:sz w:val="21"/>
          <w:szCs w:val="21"/>
          <w:highlight w:val="none"/>
          <w:u w:val="single"/>
          <w:lang w:val="en-US" w:eastAsia="zh-CN"/>
        </w:rPr>
        <w:t xml:space="preserve">  中国农业银行安居支行  </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bCs/>
          <w:color w:val="auto"/>
          <w:sz w:val="21"/>
          <w:szCs w:val="21"/>
          <w:highlight w:val="none"/>
          <w:lang w:val="en-US" w:eastAsia="zh-CN"/>
        </w:rPr>
        <w:t xml:space="preserve"> </w:t>
      </w:r>
      <w:r>
        <w:rPr>
          <w:rFonts w:hint="eastAsia" w:ascii="宋体" w:hAnsi="宋体" w:cs="Times New Roman" w:eastAsiaTheme="minorEastAsia"/>
          <w:b/>
          <w:bCs w:val="0"/>
          <w:kern w:val="0"/>
          <w:sz w:val="24"/>
          <w:szCs w:val="24"/>
          <w:highlight w:val="none"/>
          <w:lang w:val="en-US" w:eastAsia="zh-CN"/>
        </w:rPr>
        <w:t xml:space="preserve">                      </w:t>
      </w:r>
    </w:p>
    <w:p w14:paraId="608737E8">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中标单位需在中标公示期后5个工作日内缴纳中标金额的1%作为履约保证金（不接受保函）。</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9569258">
      <w:pPr>
        <w:widowControl/>
        <w:numPr>
          <w:ilvl w:val="0"/>
          <w:numId w:val="6"/>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6"/>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交至鹏安公司，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工程费用按中标单价计算，最终工程结算以业主审计结算价、及我单位招标控制价乘以分包中标下浮率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5D1E5AA6">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②变更约定:  变更的工程费用经业主认可的工程结算造价、及我单位招标控制价再下浮N%办理工程结算(N为该分包的中标下浮率点)。施工过程中新增、变更工程按业主审定的已完成工程产值按劳务单位下浮后的50%计入进度，随进度支付条款进行拨付。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keepNext w:val="0"/>
        <w:keepLines w:val="0"/>
        <w:pageBreakBefore w:val="0"/>
        <w:numPr>
          <w:ilvl w:val="0"/>
          <w:numId w:val="7"/>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标书要求</w:t>
      </w:r>
      <w:r>
        <w:rPr>
          <w:rFonts w:hint="eastAsia"/>
          <w:color w:val="auto"/>
          <w:highlight w:val="none"/>
          <w:lang w:eastAsia="zh-CN"/>
        </w:rPr>
        <w:t>：</w:t>
      </w:r>
    </w:p>
    <w:p w14:paraId="3DDE4654">
      <w:pPr>
        <w:pStyle w:val="4"/>
        <w:keepNext w:val="0"/>
        <w:keepLines w:val="0"/>
        <w:pageBreakBefore w:val="0"/>
        <w:numPr>
          <w:ilvl w:val="0"/>
          <w:numId w:val="8"/>
        </w:numPr>
        <w:kinsoku/>
        <w:wordWrap/>
        <w:overflowPunct/>
        <w:topLinePunct w:val="0"/>
        <w:autoSpaceDE/>
        <w:autoSpaceDN/>
        <w:bidi w:val="0"/>
        <w:adjustRightInd/>
        <w:snapToGrid/>
        <w:spacing w:after="0" w:afterLines="0" w:line="360" w:lineRule="auto"/>
        <w:ind w:left="0" w:leftChars="0" w:firstLine="482" w:firstLineChars="200"/>
        <w:textAlignment w:val="auto"/>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公司法人或授权人签字盖章</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numPr>
          <w:ilvl w:val="0"/>
          <w:numId w:val="8"/>
        </w:numPr>
        <w:ind w:left="0" w:leftChars="0" w:firstLine="480" w:firstLineChars="0"/>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numPr>
          <w:ilvl w:val="0"/>
          <w:numId w:val="8"/>
        </w:numPr>
        <w:ind w:left="0" w:leftChars="0" w:firstLine="480" w:firstLineChars="0"/>
        <w:rPr>
          <w:b w:val="0"/>
          <w:color w:val="auto"/>
          <w:highlight w:val="none"/>
        </w:rPr>
      </w:pPr>
      <w:r>
        <w:rPr>
          <w:color w:val="auto"/>
          <w:highlight w:val="none"/>
        </w:rPr>
        <w:t>如公司法人未到开标现场，请提供投标授权书；</w:t>
      </w:r>
    </w:p>
    <w:p w14:paraId="45543585">
      <w:pPr>
        <w:pStyle w:val="4"/>
        <w:numPr>
          <w:ilvl w:val="0"/>
          <w:numId w:val="8"/>
        </w:numPr>
        <w:ind w:left="0" w:leftChars="0" w:firstLine="480" w:firstLineChars="0"/>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p>
    <w:p w14:paraId="3C4D3D8F">
      <w:pPr>
        <w:pStyle w:val="3"/>
        <w:keepNext w:val="0"/>
        <w:keepLines w:val="0"/>
        <w:pageBreakBefore w:val="0"/>
        <w:widowControl w:val="0"/>
        <w:numPr>
          <w:ilvl w:val="0"/>
          <w:numId w:val="7"/>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投标文件组成要求</w:t>
      </w:r>
      <w:r>
        <w:rPr>
          <w:rFonts w:hint="eastAsia"/>
          <w:color w:val="auto"/>
          <w:highlight w:val="none"/>
          <w:lang w:eastAsia="zh-CN"/>
        </w:rPr>
        <w:t>：</w:t>
      </w:r>
    </w:p>
    <w:p w14:paraId="401182ED">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ascii="宋体" w:hAnsi="宋体" w:cs="Times New Roman" w:eastAsiaTheme="minorEastAsia"/>
          <w:b w:val="0"/>
          <w:bCs/>
          <w:kern w:val="0"/>
          <w:sz w:val="24"/>
          <w:szCs w:val="24"/>
          <w:lang w:val="en-US" w:eastAsia="zh-CN"/>
        </w:rPr>
        <w:t>市政公用工程施工总承包三级及其以上资质</w:t>
      </w:r>
      <w:r>
        <w:rPr>
          <w:color w:val="auto"/>
          <w:highlight w:val="none"/>
        </w:rPr>
        <w:t>、安全生产许可证复印件；</w:t>
      </w:r>
    </w:p>
    <w:p w14:paraId="79C21AAF">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承诺书；</w:t>
      </w:r>
    </w:p>
    <w:p w14:paraId="3E8213D8">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0896DF36">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highlight w:val="none"/>
          <w:lang w:val="en-US" w:eastAsia="zh-CN"/>
        </w:rPr>
        <w:t>投标保证金缴纳凭证；</w:t>
      </w:r>
    </w:p>
    <w:p w14:paraId="14696C2B">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23492BE3">
      <w:pPr>
        <w:pStyle w:val="4"/>
        <w:keepNext w:val="0"/>
        <w:keepLines w:val="0"/>
        <w:pageBreakBefore w:val="0"/>
        <w:kinsoku/>
        <w:wordWrap/>
        <w:overflowPunct/>
        <w:topLinePunct w:val="0"/>
        <w:autoSpaceDE/>
        <w:autoSpaceDN/>
        <w:bidi w:val="0"/>
        <w:adjustRightInd/>
        <w:snapToGrid/>
        <w:spacing w:after="0" w:afterLines="0" w:line="360" w:lineRule="auto"/>
        <w:ind w:firstLine="482" w:firstLineChars="200"/>
        <w:textAlignment w:val="auto"/>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keepNext w:val="0"/>
        <w:keepLines w:val="0"/>
        <w:pageBreakBefore w:val="0"/>
        <w:widowControl/>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以下情形之一招标人直接取消中标单位中标资格</w:t>
      </w:r>
    </w:p>
    <w:p w14:paraId="0F9CEE69">
      <w:pPr>
        <w:pStyle w:val="4"/>
        <w:widowControl/>
        <w:numPr>
          <w:ilvl w:val="0"/>
          <w:numId w:val="10"/>
        </w:numPr>
        <w:ind w:left="0" w:leftChars="0" w:firstLine="480" w:firstLineChars="0"/>
        <w:rPr>
          <w:b w:val="0"/>
          <w:color w:val="auto"/>
          <w:highlight w:val="none"/>
        </w:rPr>
      </w:pPr>
      <w:r>
        <w:rPr>
          <w:color w:val="auto"/>
          <w:highlight w:val="none"/>
        </w:rPr>
        <w:t>中标人在中标通知书发出30日内，中标人无正当理由不与招标人订立合同；</w:t>
      </w:r>
    </w:p>
    <w:p w14:paraId="12535916">
      <w:pPr>
        <w:pStyle w:val="4"/>
        <w:widowControl/>
        <w:numPr>
          <w:ilvl w:val="0"/>
          <w:numId w:val="10"/>
        </w:numPr>
        <w:ind w:left="0" w:leftChars="0" w:firstLine="480" w:firstLineChars="0"/>
        <w:rPr>
          <w:b w:val="0"/>
          <w:color w:val="auto"/>
          <w:highlight w:val="none"/>
        </w:rPr>
      </w:pPr>
      <w:r>
        <w:rPr>
          <w:color w:val="auto"/>
          <w:highlight w:val="none"/>
        </w:rPr>
        <w:t>中标人在签订合同时向招标人提出附加条件；</w:t>
      </w:r>
    </w:p>
    <w:p w14:paraId="6022AA99">
      <w:pPr>
        <w:pStyle w:val="4"/>
        <w:widowControl/>
        <w:numPr>
          <w:ilvl w:val="0"/>
          <w:numId w:val="10"/>
        </w:numPr>
        <w:ind w:left="0" w:leftChars="0" w:firstLine="480" w:firstLineChars="0"/>
        <w:rPr>
          <w:b w:val="0"/>
          <w:color w:val="auto"/>
          <w:highlight w:val="none"/>
        </w:rPr>
      </w:pPr>
      <w:r>
        <w:rPr>
          <w:color w:val="auto"/>
          <w:highlight w:val="none"/>
        </w:rPr>
        <w:t>经核查，存在弄虚作假、借资质、挂靠、围标、串标等违法违规行为的；</w:t>
      </w:r>
    </w:p>
    <w:p w14:paraId="1D4E2E24">
      <w:pPr>
        <w:pStyle w:val="4"/>
        <w:widowControl/>
        <w:numPr>
          <w:ilvl w:val="0"/>
          <w:numId w:val="10"/>
        </w:numPr>
        <w:ind w:left="0" w:leftChars="0" w:firstLine="480" w:firstLineChars="0"/>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widowControl/>
        <w:numPr>
          <w:ilvl w:val="0"/>
          <w:numId w:val="10"/>
        </w:numPr>
        <w:ind w:left="0" w:leftChars="0" w:firstLine="480" w:firstLineChars="0"/>
        <w:rPr>
          <w:highlight w:val="none"/>
        </w:rPr>
      </w:pPr>
      <w:r>
        <w:rPr>
          <w:color w:val="auto"/>
          <w:highlight w:val="none"/>
        </w:rPr>
        <w:t>法律法规规定的其他情形。</w:t>
      </w:r>
    </w:p>
    <w:p w14:paraId="61D61282">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highlight w:val="none"/>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11</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24</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上午9</w:t>
      </w:r>
      <w:r>
        <w:rPr>
          <w:rFonts w:hint="eastAsia" w:ascii="宋体" w:hAnsi="宋体" w:eastAsia="宋体" w:cs="宋体"/>
          <w:b/>
          <w:bCs/>
          <w:color w:val="auto"/>
          <w:sz w:val="24"/>
          <w:szCs w:val="24"/>
          <w:highlight w:val="none"/>
        </w:rPr>
        <w:t>点</w:t>
      </w:r>
      <w:r>
        <w:rPr>
          <w:rFonts w:hint="eastAsia" w:ascii="宋体" w:hAnsi="宋体" w:cs="宋体"/>
          <w:b/>
          <w:bCs/>
          <w:color w:val="auto"/>
          <w:sz w:val="24"/>
          <w:szCs w:val="24"/>
          <w:highlight w:val="none"/>
          <w:lang w:val="en-US" w:eastAsia="zh-CN"/>
        </w:rPr>
        <w:t>30分</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上午9点30分</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0825-8663232。</w:t>
      </w:r>
    </w:p>
    <w:p w14:paraId="64048929">
      <w:pPr>
        <w:pStyle w:val="4"/>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599FA0F9">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rFonts w:hint="eastAsia"/>
          <w:color w:val="auto"/>
          <w:highlight w:val="none"/>
          <w:u w:val="none"/>
          <w:lang w:val="en-US" w:eastAsia="zh-CN"/>
        </w:rPr>
        <w:t>投标单位保证金缴纳凭证；</w:t>
      </w:r>
    </w:p>
    <w:p w14:paraId="1BEDD507">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color w:val="auto"/>
          <w:highlight w:val="none"/>
          <w:u w:val="none"/>
        </w:rPr>
        <w:t>项目报价表</w:t>
      </w:r>
      <w:r>
        <w:rPr>
          <w:rFonts w:hint="eastAsia"/>
          <w:color w:val="auto"/>
          <w:highlight w:val="none"/>
          <w:u w:val="none"/>
          <w:lang w:eastAsia="zh-CN"/>
        </w:rPr>
        <w:t>；</w:t>
      </w:r>
    </w:p>
    <w:p w14:paraId="49EE2C54">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rFonts w:hint="default"/>
          <w:lang w:val="en-US"/>
        </w:rPr>
      </w:pPr>
      <w:r>
        <w:rPr>
          <w:color w:val="auto"/>
          <w:highlight w:val="none"/>
          <w:u w:val="none"/>
        </w:rPr>
        <w:t>项目清单</w:t>
      </w:r>
      <w:r>
        <w:rPr>
          <w:rFonts w:hint="eastAsia"/>
          <w:color w:val="auto"/>
          <w:highlight w:val="none"/>
          <w:u w:val="none"/>
          <w:lang w:eastAsia="zh-CN"/>
        </w:rPr>
        <w:t>；</w:t>
      </w: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701E2674">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020" w:right="1134" w:bottom="1020" w:left="1134"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11</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20</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3"/>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3"/>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3"/>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3"/>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3"/>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4"/>
        </w:numPr>
        <w:ind w:left="0" w:leftChars="0" w:firstLine="480" w:firstLineChars="0"/>
        <w:rPr>
          <w:b w:val="0"/>
          <w:color w:val="auto"/>
          <w:highlight w:val="none"/>
        </w:rPr>
      </w:pPr>
      <w:r>
        <w:rPr>
          <w:color w:val="auto"/>
          <w:highlight w:val="none"/>
        </w:rPr>
        <w:t>资质：</w:t>
      </w:r>
      <w:r>
        <w:rPr>
          <w:rFonts w:hint="eastAsia" w:ascii="宋体" w:hAnsi="宋体" w:cs="Times New Roman" w:eastAsiaTheme="minorEastAsia"/>
          <w:b w:val="0"/>
          <w:bCs/>
          <w:kern w:val="0"/>
          <w:sz w:val="24"/>
          <w:szCs w:val="24"/>
          <w:lang w:val="en-US" w:eastAsia="zh-CN"/>
        </w:rPr>
        <w:t>市政公用工程施工总承包三级及其以上资质</w:t>
      </w:r>
      <w:r>
        <w:rPr>
          <w:color w:val="auto"/>
          <w:highlight w:val="none"/>
        </w:rPr>
        <w:t>。</w:t>
      </w:r>
    </w:p>
    <w:p w14:paraId="7176C957">
      <w:pPr>
        <w:pStyle w:val="4"/>
        <w:numPr>
          <w:ilvl w:val="0"/>
          <w:numId w:val="14"/>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4"/>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4"/>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4"/>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6B34E4E4">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57ACA3B9">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112B4E04">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5"/>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5"/>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AC771A6">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1D0BE337">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65447435">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7778C24E">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p>
    <w:p w14:paraId="1C379157">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附市政二级建造师或市政施工员与安全员证书以及各人员劳动合同</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470" w:type="dxa"/>
            <w:vAlign w:val="center"/>
          </w:tcPr>
          <w:p w14:paraId="4A8EB3C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4"/>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0332D7B7">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4"/>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41581A">
            <w:pPr>
              <w:pStyle w:val="15"/>
              <w:spacing w:line="480" w:lineRule="auto"/>
              <w:jc w:val="center"/>
              <w:rPr>
                <w:rStyle w:val="14"/>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CAB49F5">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633048B">
            <w:pPr>
              <w:pStyle w:val="15"/>
              <w:spacing w:line="480" w:lineRule="auto"/>
              <w:jc w:val="center"/>
              <w:rPr>
                <w:rStyle w:val="14"/>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00A04CF">
            <w:pPr>
              <w:pStyle w:val="15"/>
              <w:spacing w:line="480" w:lineRule="auto"/>
              <w:jc w:val="center"/>
              <w:rPr>
                <w:rStyle w:val="14"/>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E7882CE">
            <w:pPr>
              <w:pStyle w:val="15"/>
              <w:spacing w:line="480" w:lineRule="auto"/>
              <w:jc w:val="center"/>
              <w:rPr>
                <w:rStyle w:val="14"/>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736E845">
            <w:pPr>
              <w:pStyle w:val="15"/>
              <w:spacing w:line="480" w:lineRule="auto"/>
              <w:jc w:val="center"/>
              <w:rPr>
                <w:rStyle w:val="14"/>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60BADDC">
            <w:pPr>
              <w:pStyle w:val="15"/>
              <w:spacing w:line="480" w:lineRule="auto"/>
              <w:jc w:val="center"/>
              <w:rPr>
                <w:rStyle w:val="14"/>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ED0A21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112390E">
            <w:pPr>
              <w:pStyle w:val="15"/>
              <w:spacing w:line="480" w:lineRule="auto"/>
              <w:jc w:val="center"/>
              <w:rPr>
                <w:rStyle w:val="14"/>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89C52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9E6459D">
            <w:pPr>
              <w:pStyle w:val="15"/>
              <w:spacing w:line="480" w:lineRule="auto"/>
              <w:jc w:val="center"/>
              <w:rPr>
                <w:rStyle w:val="14"/>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9A4926E">
            <w:pPr>
              <w:pStyle w:val="15"/>
              <w:spacing w:line="480" w:lineRule="auto"/>
              <w:jc w:val="center"/>
              <w:rPr>
                <w:rStyle w:val="14"/>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618CEBA">
            <w:pPr>
              <w:pStyle w:val="15"/>
              <w:spacing w:line="480" w:lineRule="auto"/>
              <w:jc w:val="center"/>
              <w:rPr>
                <w:rStyle w:val="14"/>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4968CAB">
            <w:pPr>
              <w:pStyle w:val="15"/>
              <w:spacing w:line="480" w:lineRule="auto"/>
              <w:jc w:val="center"/>
              <w:rPr>
                <w:rStyle w:val="14"/>
                <w:rFonts w:hint="eastAsia" w:ascii="宋体" w:hAnsi="宋体" w:eastAsia="宋体" w:cs="宋体"/>
                <w:color w:val="auto"/>
                <w:sz w:val="24"/>
                <w:szCs w:val="24"/>
                <w:highlight w:val="none"/>
              </w:rPr>
            </w:pPr>
          </w:p>
        </w:tc>
      </w:tr>
    </w:tbl>
    <w:p w14:paraId="2F2A440A">
      <w:pPr>
        <w:pStyle w:val="8"/>
        <w:ind w:left="0" w:leftChars="0" w:firstLine="0" w:firstLineChars="0"/>
        <w:rPr>
          <w:rFonts w:hint="eastAsia" w:ascii="宋体" w:hAnsi="宋体" w:eastAsia="宋体" w:cs="宋体"/>
          <w:b/>
          <w:bCs/>
          <w:color w:val="auto"/>
          <w:sz w:val="24"/>
          <w:szCs w:val="24"/>
          <w:highlight w:val="none"/>
          <w:lang w:val="en-US" w:eastAsia="zh-CN"/>
        </w:rPr>
      </w:pPr>
    </w:p>
    <w:p w14:paraId="799157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sectPr>
          <w:pgSz w:w="11906" w:h="16838"/>
          <w:pgMar w:top="1440" w:right="1080" w:bottom="1440" w:left="1080" w:header="851" w:footer="992" w:gutter="0"/>
          <w:cols w:space="720" w:num="1"/>
          <w:rtlGutter w:val="0"/>
          <w:docGrid w:type="lines" w:linePitch="319" w:charSpace="0"/>
        </w:sectPr>
      </w:pPr>
      <w:r>
        <w:rPr>
          <w:rFonts w:hint="eastAsia"/>
          <w:b/>
          <w:bCs/>
          <w:color w:val="auto"/>
          <w:highlight w:val="none"/>
          <w:lang w:val="en-US" w:eastAsia="zh-CN"/>
        </w:rPr>
        <w:t>注：</w:t>
      </w:r>
      <w:r>
        <w:rPr>
          <w:b/>
          <w:bCs/>
          <w:color w:val="auto"/>
          <w:highlight w:val="none"/>
        </w:rPr>
        <w:t>施工管理人员</w:t>
      </w:r>
      <w:r>
        <w:rPr>
          <w:rFonts w:hint="eastAsia"/>
          <w:b/>
          <w:bCs/>
          <w:color w:val="auto"/>
          <w:highlight w:val="none"/>
          <w:lang w:val="en-US" w:eastAsia="zh-CN"/>
        </w:rPr>
        <w:t>不低于1人，资料管理人员不低于1人，安全协管人员不低于1人，造价专员不低于1人，材料员不低于1人</w:t>
      </w:r>
      <w:r>
        <w:rPr>
          <w:rFonts w:hint="eastAsia" w:ascii="Times New Roman" w:hAnsi="Times New Roman" w:eastAsia="宋体" w:cs="Times New Roman"/>
          <w:b/>
          <w:bCs/>
          <w:color w:val="auto"/>
          <w:highlight w:val="none"/>
          <w:lang w:val="en-US" w:eastAsia="zh-CN"/>
        </w:rPr>
        <w:t>（劳务员、造价专员、材料员三个岗位可一人兼2个岗位（最少2人），其他管理岗位不得兼职）。</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2E52615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37835BB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材料员可承担1个600万元以上和1个100万元以下的项目，且2个项目直线距离不超过5公里。</w:t>
      </w:r>
    </w:p>
    <w:p w14:paraId="35BCC6DE">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资料管理人员、造价专员同期可承担1个600万元以上和2个</w:t>
      </w:r>
      <w:r>
        <w:rPr>
          <w:rFonts w:hint="eastAsia" w:ascii="宋体" w:hAnsi="宋体" w:cs="宋体"/>
          <w:color w:val="auto"/>
          <w:kern w:val="2"/>
          <w:sz w:val="24"/>
          <w:szCs w:val="24"/>
          <w:highlight w:val="none"/>
          <w:lang w:val="en-US" w:eastAsia="zh-CN" w:bidi="ar-SA"/>
        </w:rPr>
        <w:t>1</w:t>
      </w:r>
      <w:r>
        <w:rPr>
          <w:rFonts w:hint="eastAsia" w:ascii="宋体" w:hAnsi="宋体" w:eastAsia="宋体" w:cs="宋体"/>
          <w:color w:val="auto"/>
          <w:kern w:val="2"/>
          <w:sz w:val="24"/>
          <w:szCs w:val="24"/>
          <w:highlight w:val="none"/>
          <w:lang w:val="en-US" w:eastAsia="zh-CN" w:bidi="ar-SA"/>
        </w:rPr>
        <w:t>00万元以下的项目。</w:t>
      </w:r>
    </w:p>
    <w:p w14:paraId="6C80136F">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项目相关管理人员证书注册单位与投标单位不做要求，但必须为本项目实施过程中实际现场管理人员，履行对应职责，否则将按照公司规定处罚。</w:t>
      </w:r>
    </w:p>
    <w:p w14:paraId="39FA5993">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施工管理人员、安全协管人员、材料员在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5512781D">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的施工管理人员、安全协管人员、材料员等主要管理人员离开施工现场每月累计超过3天的，应通知施工项目部，并征得施工项目部书面同意。</w:t>
      </w:r>
    </w:p>
    <w:p w14:paraId="196F7346">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的施工管理人员、安全协管人员、材料员若累计达到3次不在施工现场，发包人有权要求施工单位更换主要施工管理人员或解除施工合同，由此带来的损失全部由</w:t>
      </w:r>
      <w:r>
        <w:rPr>
          <w:rFonts w:hint="eastAsia" w:ascii="宋体" w:hAnsi="宋体" w:cs="宋体"/>
          <w:color w:val="auto"/>
          <w:kern w:val="2"/>
          <w:sz w:val="24"/>
          <w:szCs w:val="24"/>
          <w:highlight w:val="none"/>
          <w:lang w:val="en-US" w:eastAsia="zh-CN" w:bidi="ar-SA"/>
        </w:rPr>
        <w:t>承包人</w:t>
      </w:r>
      <w:r>
        <w:rPr>
          <w:rFonts w:hint="eastAsia" w:ascii="宋体" w:hAnsi="宋体" w:eastAsia="宋体" w:cs="宋体"/>
          <w:color w:val="auto"/>
          <w:kern w:val="2"/>
          <w:sz w:val="24"/>
          <w:szCs w:val="24"/>
          <w:highlight w:val="none"/>
          <w:lang w:val="en-US" w:eastAsia="zh-CN" w:bidi="ar-SA"/>
        </w:rPr>
        <w:t>负责。</w:t>
      </w:r>
    </w:p>
    <w:p w14:paraId="1AFD9969">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擅自更换施工管理人员、安全协管人员、材料员，按3000元/次/人进行处罚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擅自更换资料管理人员、造价专员，按2000元/次/人进行处罚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施工管理人员、安全协管人员、材料员不称职甲方要求更换的，每更换一人罚款3000元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更换人员应于3天内到场，每延迟一天罚款500元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项目其他管理人员不称职甲方要求更换的，每更换一人罚款2000元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4F3233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sectPr>
          <w:pgSz w:w="11906" w:h="16838"/>
          <w:pgMar w:top="1440" w:right="1803" w:bottom="1440" w:left="1803" w:header="851" w:footer="992" w:gutter="0"/>
          <w:cols w:space="720" w:num="1"/>
          <w:rtlGutter w:val="0"/>
          <w:docGrid w:type="lines" w:linePitch="319" w:charSpace="0"/>
        </w:sectPr>
      </w:pPr>
      <w:r>
        <w:rPr>
          <w:rFonts w:hint="eastAsia" w:ascii="宋体" w:hAnsi="宋体" w:eastAsia="宋体" w:cs="宋体"/>
          <w:color w:val="auto"/>
          <w:kern w:val="2"/>
          <w:sz w:val="24"/>
          <w:szCs w:val="24"/>
          <w:highlight w:val="none"/>
          <w:lang w:val="en-US" w:eastAsia="zh-CN" w:bidi="ar-SA"/>
        </w:rPr>
        <w:t>9.经项目部同意批准更换项目管理人员，施工管理人员、安全协管人员、材料员每人次罚款2000元，项目其他管理人员1000元。</w:t>
      </w:r>
    </w:p>
    <w:p w14:paraId="0A47C4B9">
      <w:pPr>
        <w:pStyle w:val="8"/>
        <w:ind w:left="0" w:leftChars="0" w:firstLine="0" w:firstLineChars="0"/>
        <w:rPr>
          <w:rFonts w:hint="eastAsia"/>
          <w:b/>
          <w:bCs/>
          <w:color w:val="auto"/>
          <w:highlight w:val="none"/>
          <w:lang w:val="en-US" w:eastAsia="zh-CN"/>
        </w:rPr>
      </w:pPr>
    </w:p>
    <w:p w14:paraId="1B8F6869">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附件五： 投标保证金（需附交易记录或截图或转款凭证等形式，加盖单位公章）</w:t>
      </w:r>
    </w:p>
    <w:tbl>
      <w:tblPr>
        <w:tblStyle w:val="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2738"/>
        <w:gridCol w:w="3819"/>
        <w:gridCol w:w="3390"/>
        <w:gridCol w:w="3765"/>
      </w:tblGrid>
      <w:tr w14:paraId="2EEAA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trPr>
        <w:tc>
          <w:tcPr>
            <w:tcW w:w="391" w:type="pct"/>
            <w:noWrap w:val="0"/>
            <w:vAlign w:val="center"/>
          </w:tcPr>
          <w:p w14:paraId="4F3B6E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920" w:type="pct"/>
            <w:noWrap w:val="0"/>
            <w:vAlign w:val="center"/>
          </w:tcPr>
          <w:p w14:paraId="342CBB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1283" w:type="pct"/>
            <w:noWrap w:val="0"/>
            <w:vAlign w:val="center"/>
          </w:tcPr>
          <w:p w14:paraId="2E3284A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lang w:val="en-US" w:eastAsia="zh-CN"/>
              </w:rPr>
              <w:t>控制价</w:t>
            </w:r>
          </w:p>
        </w:tc>
        <w:tc>
          <w:tcPr>
            <w:tcW w:w="1139" w:type="pct"/>
            <w:noWrap w:val="0"/>
            <w:vAlign w:val="center"/>
          </w:tcPr>
          <w:p w14:paraId="528DEA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投标保证金金额（元）</w:t>
            </w:r>
          </w:p>
        </w:tc>
        <w:tc>
          <w:tcPr>
            <w:tcW w:w="1265" w:type="pct"/>
            <w:noWrap w:val="0"/>
            <w:vAlign w:val="center"/>
          </w:tcPr>
          <w:p w14:paraId="1E386EE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备注</w:t>
            </w:r>
          </w:p>
        </w:tc>
      </w:tr>
      <w:tr w14:paraId="060FE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trPr>
        <w:tc>
          <w:tcPr>
            <w:tcW w:w="391" w:type="pct"/>
            <w:noWrap w:val="0"/>
            <w:vAlign w:val="center"/>
          </w:tcPr>
          <w:p w14:paraId="421E3C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920" w:type="pct"/>
            <w:noWrap w:val="0"/>
            <w:vAlign w:val="center"/>
          </w:tcPr>
          <w:p w14:paraId="3027B8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人行道及车行道级配碎石垫层专业分包</w:t>
            </w:r>
          </w:p>
        </w:tc>
        <w:tc>
          <w:tcPr>
            <w:tcW w:w="1283" w:type="pct"/>
            <w:noWrap w:val="0"/>
            <w:vAlign w:val="center"/>
          </w:tcPr>
          <w:p w14:paraId="05FC7E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3939000.60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139" w:type="pct"/>
            <w:noWrap w:val="0"/>
            <w:vAlign w:val="center"/>
          </w:tcPr>
          <w:p w14:paraId="460649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ighlight w:val="none"/>
                <w:lang w:val="en-US" w:eastAsia="zh-CN"/>
              </w:rPr>
            </w:pP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5000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265" w:type="pct"/>
            <w:noWrap w:val="0"/>
            <w:vAlign w:val="center"/>
          </w:tcPr>
          <w:p w14:paraId="5AA4A2A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pPr>
            <w:r>
              <w:rPr>
                <w:rFonts w:hint="eastAsia" w:ascii="仿宋_GB2312" w:hAnsi="仿宋_GB2312" w:eastAsia="仿宋_GB2312" w:cs="仿宋_GB2312"/>
                <w:b/>
                <w:bCs/>
                <w:sz w:val="30"/>
                <w:szCs w:val="30"/>
                <w:highlight w:val="none"/>
                <w:lang w:val="en-US" w:eastAsia="zh-CN"/>
              </w:rPr>
              <w:t>若因中标单位自身原因放弃中标资格的，保证金不予退还。</w:t>
            </w:r>
          </w:p>
        </w:tc>
      </w:tr>
    </w:tbl>
    <w:p w14:paraId="6E10EBF7">
      <w:pPr>
        <w:jc w:val="left"/>
        <w:rPr>
          <w:rFonts w:hint="default" w:ascii="仿宋_GB2312" w:hAnsi="仿宋_GB2312" w:eastAsia="仿宋_GB2312" w:cs="仿宋_GB2312"/>
          <w:b/>
          <w:bCs/>
          <w:kern w:val="0"/>
          <w:sz w:val="30"/>
          <w:szCs w:val="30"/>
          <w:highlight w:val="none"/>
          <w:lang w:val="en-US" w:eastAsia="zh-CN" w:bidi="ar-SA"/>
        </w:rPr>
      </w:pPr>
    </w:p>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07AA3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sectPr>
          <w:pgSz w:w="16838" w:h="11906" w:orient="landscape"/>
          <w:pgMar w:top="1304" w:right="1080" w:bottom="1304" w:left="1080" w:header="851" w:footer="992" w:gutter="0"/>
          <w:cols w:space="720" w:num="1"/>
          <w:rtlGutter w:val="0"/>
          <w:docGrid w:type="lines" w:linePitch="319" w:charSpace="0"/>
        </w:sect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7D31C225">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 xml:space="preserve">附件六： </w:t>
      </w:r>
    </w:p>
    <w:p w14:paraId="415A667C">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eastAsia="宋体" w:cs="宋体"/>
          <w:b/>
          <w:color w:val="auto"/>
          <w:sz w:val="24"/>
          <w:szCs w:val="24"/>
          <w:highlight w:val="none"/>
          <w:u w:val="single"/>
          <w:lang w:val="en-US" w:eastAsia="zh-CN"/>
        </w:rPr>
      </w:pPr>
      <w:r>
        <w:rPr>
          <w:rFonts w:hint="eastAsia" w:ascii="宋体" w:hAnsi="宋体" w:cs="宋体"/>
          <w:b/>
          <w:color w:val="auto"/>
          <w:sz w:val="24"/>
          <w:szCs w:val="24"/>
          <w:highlight w:val="none"/>
          <w:u w:val="single"/>
          <w:lang w:val="en-US" w:eastAsia="zh-CN"/>
        </w:rPr>
        <w:t>遂宁市安居区梧桐路片区城市污水管网整治及附属设施提升项目／遂宁市安居区城南旧城片区城市排水防涝整治建设项目</w:t>
      </w:r>
    </w:p>
    <w:p w14:paraId="58522414">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仿宋_GB2312" w:hAnsi="仿宋_GB2312" w:eastAsia="仿宋_GB2312" w:cs="仿宋_GB2312"/>
          <w:kern w:val="0"/>
          <w:sz w:val="30"/>
          <w:szCs w:val="30"/>
          <w:highlight w:val="none"/>
          <w:lang w:val="en-US" w:eastAsia="zh-CN" w:bidi="ar-SA"/>
        </w:rPr>
      </w:pPr>
      <w:r>
        <w:rPr>
          <w:rFonts w:hint="eastAsia" w:ascii="宋体" w:hAnsi="宋体" w:eastAsia="宋体" w:cs="宋体"/>
          <w:b/>
          <w:color w:val="auto"/>
          <w:sz w:val="24"/>
          <w:szCs w:val="24"/>
          <w:highlight w:val="none"/>
          <w:lang w:val="en-US" w:eastAsia="zh-CN"/>
        </w:rPr>
        <w:t>报价表</w:t>
      </w:r>
    </w:p>
    <w:tbl>
      <w:tblPr>
        <w:tblStyle w:val="9"/>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0"/>
        <w:gridCol w:w="3598"/>
        <w:gridCol w:w="2887"/>
        <w:gridCol w:w="4464"/>
        <w:gridCol w:w="2791"/>
      </w:tblGrid>
      <w:tr w14:paraId="50DF3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380" w:type="pct"/>
            <w:noWrap w:val="0"/>
            <w:vAlign w:val="center"/>
          </w:tcPr>
          <w:p w14:paraId="3F02A3F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209" w:type="pct"/>
            <w:noWrap w:val="0"/>
            <w:vAlign w:val="center"/>
          </w:tcPr>
          <w:p w14:paraId="49DB10D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970" w:type="pct"/>
            <w:noWrap w:val="0"/>
            <w:vAlign w:val="center"/>
          </w:tcPr>
          <w:p w14:paraId="7672A2F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工程规模</w:t>
            </w:r>
          </w:p>
        </w:tc>
        <w:tc>
          <w:tcPr>
            <w:tcW w:w="1500" w:type="pct"/>
            <w:noWrap w:val="0"/>
            <w:vAlign w:val="center"/>
          </w:tcPr>
          <w:p w14:paraId="31AEFC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eastAsia="zh-CN"/>
              </w:rPr>
            </w:pPr>
            <w:r>
              <w:rPr>
                <w:rFonts w:hint="eastAsia" w:ascii="仿宋_GB2312" w:hAnsi="仿宋_GB2312" w:eastAsia="仿宋_GB2312" w:cs="仿宋_GB2312"/>
                <w:b/>
                <w:bCs/>
                <w:sz w:val="30"/>
                <w:szCs w:val="30"/>
                <w:highlight w:val="none"/>
                <w:lang w:val="en-US" w:eastAsia="zh-CN"/>
              </w:rPr>
              <w:t>控制价</w:t>
            </w:r>
          </w:p>
        </w:tc>
        <w:tc>
          <w:tcPr>
            <w:tcW w:w="938" w:type="pct"/>
            <w:noWrap w:val="0"/>
            <w:vAlign w:val="center"/>
          </w:tcPr>
          <w:p w14:paraId="5F9B8817">
            <w:pPr>
              <w:jc w:val="center"/>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下浮比例（%）</w:t>
            </w:r>
          </w:p>
        </w:tc>
      </w:tr>
      <w:tr w14:paraId="19D24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380" w:type="pct"/>
            <w:noWrap w:val="0"/>
            <w:vAlign w:val="center"/>
          </w:tcPr>
          <w:p w14:paraId="79DA76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209" w:type="pct"/>
            <w:noWrap w:val="0"/>
            <w:vAlign w:val="center"/>
          </w:tcPr>
          <w:p w14:paraId="15D91B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人行道及车行道级配碎石垫层专业分包</w:t>
            </w:r>
          </w:p>
        </w:tc>
        <w:tc>
          <w:tcPr>
            <w:tcW w:w="970" w:type="pct"/>
            <w:noWrap w:val="0"/>
            <w:vAlign w:val="center"/>
          </w:tcPr>
          <w:p w14:paraId="6A7F63A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900" w:firstLineChars="300"/>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详概况</w:t>
            </w:r>
          </w:p>
        </w:tc>
        <w:tc>
          <w:tcPr>
            <w:tcW w:w="1500" w:type="pct"/>
            <w:noWrap w:val="0"/>
            <w:vAlign w:val="center"/>
          </w:tcPr>
          <w:p w14:paraId="02F5F45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ighlight w:val="none"/>
                <w:lang w:val="en-US" w:eastAsia="zh-CN"/>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3939000.60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r>
              <w:rPr>
                <w:rFonts w:hint="default" w:ascii="仿宋_GB2312" w:hAnsi="仿宋_GB2312" w:eastAsia="仿宋_GB2312" w:cs="仿宋_GB2312"/>
                <w:color w:val="auto"/>
                <w:sz w:val="30"/>
                <w:szCs w:val="30"/>
                <w:highlight w:val="none"/>
                <w:shd w:val="clear" w:color="auto" w:fill="auto"/>
                <w:lang w:val="en-US" w:eastAsia="zh-CN"/>
              </w:rPr>
              <w:t>总价下浮</w:t>
            </w:r>
            <w:r>
              <w:rPr>
                <w:rFonts w:hint="eastAsia" w:ascii="仿宋_GB2312" w:hAnsi="仿宋_GB2312" w:eastAsia="仿宋_GB2312" w:cs="仿宋_GB2312"/>
                <w:color w:val="auto"/>
                <w:sz w:val="30"/>
                <w:szCs w:val="30"/>
                <w:highlight w:val="none"/>
                <w:shd w:val="clear" w:color="auto" w:fill="auto"/>
                <w:lang w:val="en-US" w:eastAsia="zh-CN"/>
              </w:rPr>
              <w:t>10%作为最高限价，投标下浮率小于或等于10%视为废标。</w:t>
            </w:r>
          </w:p>
        </w:tc>
        <w:tc>
          <w:tcPr>
            <w:tcW w:w="938" w:type="pct"/>
            <w:noWrap w:val="0"/>
            <w:vAlign w:val="center"/>
          </w:tcPr>
          <w:p w14:paraId="21A82E56">
            <w:pPr>
              <w:jc w:val="center"/>
              <w:rPr>
                <w:rFonts w:hint="eastAsia" w:ascii="仿宋_GB2312" w:hAnsi="仿宋_GB2312" w:eastAsia="仿宋_GB2312" w:cs="仿宋_GB2312"/>
                <w:sz w:val="30"/>
                <w:szCs w:val="30"/>
                <w:highlight w:val="none"/>
              </w:rPr>
            </w:pPr>
          </w:p>
        </w:tc>
      </w:tr>
    </w:tbl>
    <w:p w14:paraId="676DFF1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25D24A8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36B464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5F92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cs="Times New Roman"/>
          <w:b/>
          <w:bCs/>
          <w:sz w:val="24"/>
          <w:szCs w:val="30"/>
          <w:highlight w:val="none"/>
          <w:lang w:val="en-US" w:eastAsia="zh-CN"/>
        </w:rPr>
      </w:pPr>
    </w:p>
    <w:sectPr>
      <w:pgSz w:w="16838" w:h="11906" w:orient="landscape"/>
      <w:pgMar w:top="1304" w:right="1080" w:bottom="1304"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639E0"/>
    <w:multiLevelType w:val="singleLevel"/>
    <w:tmpl w:val="8CC639E0"/>
    <w:lvl w:ilvl="0" w:tentative="0">
      <w:start w:val="1"/>
      <w:numFmt w:val="decimal"/>
      <w:lvlText w:val="%1."/>
      <w:lvlJc w:val="left"/>
      <w:pPr>
        <w:ind w:left="425" w:hanging="425"/>
      </w:pPr>
      <w:rPr>
        <w:rFonts w:hint="default"/>
      </w:rPr>
    </w:lvl>
  </w:abstractNum>
  <w:abstractNum w:abstractNumId="1">
    <w:nsid w:val="A28031F6"/>
    <w:multiLevelType w:val="singleLevel"/>
    <w:tmpl w:val="A28031F6"/>
    <w:lvl w:ilvl="0" w:tentative="0">
      <w:start w:val="1"/>
      <w:numFmt w:val="decimal"/>
      <w:lvlText w:val="%1."/>
      <w:lvlJc w:val="left"/>
      <w:pPr>
        <w:ind w:left="425" w:hanging="425"/>
      </w:pPr>
      <w:rPr>
        <w:rFonts w:hint="default"/>
      </w:rPr>
    </w:lvl>
  </w:abstractNum>
  <w:abstractNum w:abstractNumId="2">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3">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4">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5">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6">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7">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8">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9">
    <w:nsid w:val="F09E5E33"/>
    <w:multiLevelType w:val="singleLevel"/>
    <w:tmpl w:val="F09E5E33"/>
    <w:lvl w:ilvl="0" w:tentative="0">
      <w:start w:val="1"/>
      <w:numFmt w:val="decimal"/>
      <w:lvlText w:val="%1."/>
      <w:lvlJc w:val="left"/>
      <w:pPr>
        <w:ind w:left="425" w:hanging="425"/>
      </w:pPr>
      <w:rPr>
        <w:rFonts w:hint="default"/>
      </w:rPr>
    </w:lvl>
  </w:abstractNum>
  <w:abstractNum w:abstractNumId="10">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1">
    <w:nsid w:val="2D314F18"/>
    <w:multiLevelType w:val="singleLevel"/>
    <w:tmpl w:val="2D314F18"/>
    <w:lvl w:ilvl="0" w:tentative="0">
      <w:start w:val="1"/>
      <w:numFmt w:val="decimalEnclosedCircleChinese"/>
      <w:suff w:val="nothing"/>
      <w:lvlText w:val="%1　"/>
      <w:lvlJc w:val="left"/>
      <w:pPr>
        <w:ind w:left="0" w:firstLine="400"/>
      </w:pPr>
      <w:rPr>
        <w:rFonts w:hint="eastAsia"/>
      </w:rPr>
    </w:lvl>
  </w:abstractNum>
  <w:abstractNum w:abstractNumId="12">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3">
    <w:nsid w:val="3942487C"/>
    <w:multiLevelType w:val="singleLevel"/>
    <w:tmpl w:val="3942487C"/>
    <w:lvl w:ilvl="0" w:tentative="0">
      <w:start w:val="1"/>
      <w:numFmt w:val="decimalEnclosedCircleChinese"/>
      <w:suff w:val="nothing"/>
      <w:lvlText w:val="%1　"/>
      <w:lvlJc w:val="left"/>
      <w:pPr>
        <w:ind w:left="0" w:firstLine="400"/>
      </w:pPr>
      <w:rPr>
        <w:rFonts w:hint="eastAsia"/>
      </w:rPr>
    </w:lvl>
  </w:abstractNum>
  <w:abstractNum w:abstractNumId="14">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5">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5"/>
  </w:num>
  <w:num w:numId="2">
    <w:abstractNumId w:val="0"/>
  </w:num>
  <w:num w:numId="3">
    <w:abstractNumId w:val="5"/>
  </w:num>
  <w:num w:numId="4">
    <w:abstractNumId w:val="11"/>
  </w:num>
  <w:num w:numId="5">
    <w:abstractNumId w:val="13"/>
  </w:num>
  <w:num w:numId="6">
    <w:abstractNumId w:val="6"/>
  </w:num>
  <w:num w:numId="7">
    <w:abstractNumId w:val="4"/>
  </w:num>
  <w:num w:numId="8">
    <w:abstractNumId w:val="3"/>
  </w:num>
  <w:num w:numId="9">
    <w:abstractNumId w:val="12"/>
  </w:num>
  <w:num w:numId="10">
    <w:abstractNumId w:val="14"/>
  </w:num>
  <w:num w:numId="11">
    <w:abstractNumId w:val="1"/>
  </w:num>
  <w:num w:numId="12">
    <w:abstractNumId w:val="2"/>
  </w:num>
  <w:num w:numId="13">
    <w:abstractNumId w:val="8"/>
  </w:num>
  <w:num w:numId="14">
    <w:abstractNumId w:val="10"/>
  </w:num>
  <w:num w:numId="15">
    <w:abstractNumId w:val="7"/>
  </w:num>
  <w:num w:numId="16">
    <w:abstractNumId w:val="9"/>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