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D272BD">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遂宁市安居区冷链物流中心及配套设施建设项目门窗工程专业分包报价比选邀请函（第三次）</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各单位</w:t>
      </w:r>
      <w:r>
        <w:rPr>
          <w:rFonts w:hint="eastAsia"/>
          <w:color w:val="auto"/>
          <w:highlight w:val="none"/>
          <w:u w:val="none"/>
          <w:lang w:eastAsia="zh-CN"/>
        </w:rPr>
        <w:t>：</w:t>
      </w:r>
    </w:p>
    <w:p w14:paraId="1D3F2DE7">
      <w:pPr>
        <w:pStyle w:val="4"/>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遂宁市安居区冷链物流中心及配套设施建设项目</w:t>
      </w:r>
      <w:r>
        <w:rPr>
          <w:color w:val="auto"/>
          <w:highlight w:val="none"/>
        </w:rPr>
        <w:t>，现根据施工需要，对本项目工程进行</w:t>
      </w:r>
      <w:r>
        <w:rPr>
          <w:rFonts w:hint="eastAsia"/>
          <w:b/>
          <w:bCs/>
          <w:color w:val="auto"/>
          <w:highlight w:val="none"/>
          <w:u w:val="single"/>
          <w:lang w:val="en-US" w:eastAsia="zh-CN"/>
        </w:rPr>
        <w:t>门窗工程专业</w:t>
      </w:r>
      <w:r>
        <w:rPr>
          <w:rFonts w:hint="eastAsia"/>
          <w:b/>
          <w:bCs/>
          <w:color w:val="auto"/>
          <w:highlight w:val="none"/>
          <w:u w:val="none"/>
          <w:lang w:val="en-US" w:eastAsia="zh-CN"/>
        </w:rPr>
        <w:t>分包</w:t>
      </w:r>
      <w:r>
        <w:rPr>
          <w:color w:val="auto"/>
          <w:highlight w:val="none"/>
        </w:rPr>
        <w:t>，</w:t>
      </w:r>
      <w:r>
        <w:rPr>
          <w:rFonts w:hint="eastAsia" w:ascii="宋体" w:hAnsi="宋体" w:cs="Times New Roman" w:eastAsiaTheme="minorEastAsia"/>
          <w:b w:val="0"/>
          <w:bCs/>
          <w:kern w:val="0"/>
          <w:sz w:val="24"/>
          <w:szCs w:val="24"/>
          <w:highlight w:val="none"/>
          <w:lang w:eastAsia="zh-CN"/>
        </w:rPr>
        <w:t>现诚邀</w:t>
      </w:r>
      <w:r>
        <w:rPr>
          <w:rFonts w:hint="eastAsia" w:ascii="宋体" w:hAnsi="宋体" w:cs="Times New Roman" w:eastAsiaTheme="minorEastAsia"/>
          <w:b w:val="0"/>
          <w:bCs/>
          <w:kern w:val="0"/>
          <w:sz w:val="24"/>
          <w:szCs w:val="24"/>
          <w:highlight w:val="none"/>
          <w:lang w:val="en-US" w:eastAsia="zh-CN"/>
        </w:rPr>
        <w:t>各</w:t>
      </w:r>
      <w:r>
        <w:rPr>
          <w:rFonts w:hint="eastAsia" w:ascii="宋体" w:hAnsi="宋体" w:cs="Times New Roman" w:eastAsiaTheme="minorEastAsia"/>
          <w:b w:val="0"/>
          <w:bCs/>
          <w:kern w:val="0"/>
          <w:sz w:val="24"/>
          <w:szCs w:val="24"/>
          <w:highlight w:val="none"/>
          <w:lang w:eastAsia="zh-CN"/>
        </w:rPr>
        <w:t>单</w:t>
      </w:r>
      <w:r>
        <w:rPr>
          <w:rFonts w:hint="eastAsia" w:ascii="宋体" w:hAnsi="宋体" w:cs="Times New Roman" w:eastAsiaTheme="minorEastAsia"/>
          <w:b w:val="0"/>
          <w:bCs/>
          <w:kern w:val="0"/>
          <w:sz w:val="24"/>
          <w:szCs w:val="24"/>
          <w:highlight w:val="none"/>
          <w:lang w:val="en-US" w:eastAsia="zh-CN"/>
        </w:rPr>
        <w:t>位进行报价，具体要求及报价表格式如下：</w:t>
      </w:r>
    </w:p>
    <w:p w14:paraId="2FE53B39">
      <w:pPr>
        <w:pStyle w:val="2"/>
        <w:keepNext w:val="0"/>
        <w:keepLines w:val="0"/>
        <w:pageBreakBefore w:val="0"/>
        <w:widowControl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招标基本情况及范围</w:t>
      </w:r>
    </w:p>
    <w:p w14:paraId="7B3F6129">
      <w:pPr>
        <w:numPr>
          <w:ilvl w:val="0"/>
          <w:numId w:val="2"/>
        </w:numPr>
        <w:spacing w:line="360" w:lineRule="auto"/>
        <w:ind w:left="425" w:leftChars="0" w:hanging="425" w:firstLineChars="0"/>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cs="Times New Roman"/>
          <w:kern w:val="0"/>
          <w:sz w:val="24"/>
          <w:highlight w:val="none"/>
          <w:lang w:val="en-US" w:eastAsia="zh-CN" w:bidi="ar-SA"/>
        </w:rPr>
        <w:t>新</w:t>
      </w:r>
      <w:r>
        <w:rPr>
          <w:rFonts w:hint="eastAsia" w:ascii="Times New Roman" w:hAnsi="Times New Roman" w:eastAsia="宋体" w:cs="Times New Roman"/>
          <w:color w:val="auto"/>
          <w:kern w:val="2"/>
          <w:sz w:val="24"/>
          <w:highlight w:val="none"/>
          <w:lang w:val="en-US" w:eastAsia="zh-CN" w:bidi="ar-SA"/>
        </w:rPr>
        <w:t>建2栋综合调度中心、2栋冷链物流中心、1栋分拣中心、3栋门卫室、停车位为53个</w:t>
      </w:r>
      <w:r>
        <w:rPr>
          <w:rFonts w:hint="eastAsia" w:ascii="Times New Roman" w:hAnsi="Times New Roman" w:eastAsia="宋体" w:cs="Times New Roman"/>
          <w:kern w:val="0"/>
          <w:sz w:val="24"/>
          <w:highlight w:val="none"/>
          <w:lang w:val="en-US" w:eastAsia="zh-CN" w:bidi="ar-SA"/>
        </w:rPr>
        <w:t>。</w:t>
      </w:r>
    </w:p>
    <w:p w14:paraId="71720740">
      <w:pPr>
        <w:numPr>
          <w:ilvl w:val="0"/>
          <w:numId w:val="2"/>
        </w:numPr>
        <w:spacing w:line="360" w:lineRule="auto"/>
        <w:ind w:left="425" w:leftChars="0" w:hanging="425" w:firstLineChars="0"/>
        <w:rPr>
          <w:rFonts w:hint="eastAsia" w:ascii="宋体" w:hAnsi="宋体" w:cs="Times New Roman" w:eastAsiaTheme="minorEastAsia"/>
          <w:b w:val="0"/>
          <w:bCs/>
          <w:kern w:val="0"/>
          <w:sz w:val="24"/>
          <w:szCs w:val="24"/>
          <w:highlight w:val="none"/>
          <w:lang w:val="en-US" w:eastAsia="zh-CN"/>
        </w:rPr>
      </w:pPr>
      <w:r>
        <w:rPr>
          <w:rFonts w:hint="eastAsia" w:ascii="Times New Roman" w:hAnsi="Times New Roman" w:eastAsia="宋体" w:cs="Times New Roman"/>
          <w:kern w:val="0"/>
          <w:sz w:val="24"/>
          <w:highlight w:val="none"/>
          <w:lang w:val="en-US" w:eastAsia="zh-CN" w:bidi="ar-SA"/>
        </w:rPr>
        <w:t>招标范围：门窗工程全部工程内容，具体内容详招标清单</w:t>
      </w:r>
      <w:r>
        <w:rPr>
          <w:rFonts w:hint="eastAsia" w:cs="Times New Roman"/>
          <w:kern w:val="0"/>
          <w:sz w:val="24"/>
          <w:highlight w:val="none"/>
          <w:lang w:val="en-US" w:eastAsia="zh-CN" w:bidi="ar-SA"/>
        </w:rPr>
        <w:t>（附件6）</w:t>
      </w:r>
      <w:r>
        <w:rPr>
          <w:rFonts w:hint="eastAsia" w:ascii="Times New Roman" w:hAnsi="Times New Roman" w:eastAsia="宋体" w:cs="Times New Roman"/>
          <w:kern w:val="0"/>
          <w:sz w:val="24"/>
          <w:highlight w:val="none"/>
          <w:lang w:val="en-US" w:eastAsia="zh-CN" w:bidi="ar-SA"/>
        </w:rPr>
        <w:t>及图纸</w:t>
      </w:r>
      <w:r>
        <w:rPr>
          <w:rFonts w:hint="eastAsia" w:cs="Times New Roman"/>
          <w:kern w:val="0"/>
          <w:sz w:val="24"/>
          <w:highlight w:val="none"/>
          <w:lang w:val="en-US" w:eastAsia="zh-CN" w:bidi="ar-SA"/>
        </w:rPr>
        <w:t>；</w:t>
      </w:r>
      <w:r>
        <w:rPr>
          <w:rFonts w:hint="eastAsia" w:ascii="Times New Roman" w:hAnsi="Times New Roman" w:eastAsia="宋体" w:cs="Times New Roman"/>
          <w:kern w:val="0"/>
          <w:sz w:val="24"/>
          <w:highlight w:val="none"/>
          <w:lang w:val="en-US" w:eastAsia="zh-CN" w:bidi="ar-SA"/>
        </w:rPr>
        <w:t xml:space="preserve">门窗、栏杆技术要求详附件7。                     </w:t>
      </w:r>
    </w:p>
    <w:p w14:paraId="0F38F45A">
      <w:pPr>
        <w:numPr>
          <w:ilvl w:val="0"/>
          <w:numId w:val="0"/>
        </w:numPr>
        <w:spacing w:line="360" w:lineRule="auto"/>
        <w:ind w:leftChars="0" w:firstLine="482" w:firstLineChars="200"/>
        <w:rPr>
          <w:rFonts w:hint="eastAsia" w:ascii="宋体" w:hAnsi="宋体" w:cs="Times New Roman" w:eastAsiaTheme="minorEastAsia"/>
          <w:b w:val="0"/>
          <w:bCs/>
          <w:kern w:val="0"/>
          <w:sz w:val="24"/>
          <w:szCs w:val="24"/>
          <w:highlight w:val="none"/>
          <w:lang w:val="en-US" w:eastAsia="zh-CN"/>
        </w:rPr>
      </w:pPr>
      <w:r>
        <w:rPr>
          <w:rFonts w:hint="eastAsia" w:ascii="Times New Roman" w:hAnsi="Times New Roman" w:eastAsia="宋体" w:cs="Times New Roman"/>
          <w:b/>
          <w:bCs/>
          <w:kern w:val="0"/>
          <w:sz w:val="24"/>
          <w:highlight w:val="none"/>
          <w:lang w:val="en-US" w:eastAsia="zh-CN" w:bidi="ar-SA"/>
        </w:rPr>
        <w:t>说明：</w:t>
      </w:r>
      <w:r>
        <w:rPr>
          <w:rFonts w:hint="eastAsia" w:cs="Times New Roman"/>
          <w:b/>
          <w:bCs/>
          <w:color w:val="auto"/>
          <w:kern w:val="2"/>
          <w:sz w:val="24"/>
          <w:highlight w:val="none"/>
          <w:lang w:val="en-US" w:eastAsia="zh-CN" w:bidi="ar-SA"/>
        </w:rPr>
        <w:t>在施工过程中，甲方有权指定第三方检测单位检测乙方提供的材质（门、窗，扶手，栏杆），若检测结果不符合设计图纸要求，</w:t>
      </w:r>
      <w:r>
        <w:rPr>
          <w:rFonts w:hint="eastAsia" w:ascii="Times New Roman" w:hAnsi="Times New Roman" w:cs="Times New Roman"/>
          <w:b/>
          <w:bCs/>
          <w:color w:val="auto"/>
          <w:kern w:val="2"/>
          <w:sz w:val="24"/>
          <w:highlight w:val="none"/>
          <w:lang w:val="en-US" w:eastAsia="zh-CN" w:bidi="ar-SA"/>
        </w:rPr>
        <w:t>乙方应向甲方支付5000-10000元/次违约金，</w:t>
      </w:r>
      <w:r>
        <w:rPr>
          <w:rFonts w:hint="eastAsia" w:cs="Times New Roman"/>
          <w:b/>
          <w:bCs/>
          <w:color w:val="auto"/>
          <w:kern w:val="2"/>
          <w:sz w:val="24"/>
          <w:highlight w:val="none"/>
          <w:lang w:val="en-US" w:eastAsia="zh-CN" w:bidi="ar-SA"/>
        </w:rPr>
        <w:t>并清退该批材料，同时甲方有权解除合同，</w:t>
      </w:r>
      <w:r>
        <w:rPr>
          <w:rFonts w:hint="eastAsia" w:ascii="Times New Roman" w:hAnsi="Times New Roman" w:cs="Times New Roman"/>
          <w:b/>
          <w:bCs/>
          <w:color w:val="auto"/>
          <w:kern w:val="2"/>
          <w:sz w:val="24"/>
          <w:highlight w:val="none"/>
          <w:lang w:val="en-US" w:eastAsia="zh-CN" w:bidi="ar-SA"/>
        </w:rPr>
        <w:t>由此造成的不良影响及经济损失由乙方承担。</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425" w:leftChars="0" w:hanging="425" w:firstLineChars="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50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425" w:leftChars="0" w:hanging="425" w:firstLineChars="0"/>
        <w:jc w:val="left"/>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投标人须具备独立企业法人资格。（不接受自然人参与本项目投标）</w:t>
      </w:r>
    </w:p>
    <w:p w14:paraId="42EF7F6B">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highlight w:val="none"/>
          <w:lang w:eastAsia="zh-CN"/>
        </w:rPr>
        <w:t>具备建设行政主管部门核发的</w:t>
      </w:r>
      <w:r>
        <w:rPr>
          <w:rFonts w:hint="eastAsia" w:ascii="Times New Roman" w:hAnsi="Times New Roman" w:eastAsia="宋体" w:cs="Times New Roman"/>
          <w:color w:val="auto"/>
          <w:highlight w:val="none"/>
          <w:lang w:val="en-US" w:eastAsia="zh-CN"/>
        </w:rPr>
        <w:t>建筑装修装饰工程专业承包</w:t>
      </w:r>
      <w:r>
        <w:rPr>
          <w:rFonts w:hint="eastAsia" w:cs="Times New Roman"/>
          <w:color w:val="auto"/>
          <w:highlight w:val="none"/>
          <w:lang w:val="en-US" w:eastAsia="zh-CN"/>
        </w:rPr>
        <w:t>二级及其以上</w:t>
      </w:r>
      <w:r>
        <w:rPr>
          <w:rFonts w:hint="eastAsia" w:ascii="Times New Roman" w:hAnsi="Times New Roman" w:eastAsia="宋体" w:cs="Times New Roman"/>
          <w:color w:val="auto"/>
          <w:highlight w:val="none"/>
          <w:lang w:val="en-US" w:eastAsia="zh-CN"/>
        </w:rPr>
        <w:t>资质</w:t>
      </w:r>
      <w:r>
        <w:rPr>
          <w:rFonts w:hint="eastAsia" w:cs="Times New Roman"/>
          <w:color w:val="auto"/>
          <w:highlight w:val="none"/>
          <w:lang w:val="en-US" w:eastAsia="zh-CN"/>
        </w:rPr>
        <w:t>，</w:t>
      </w:r>
      <w:r>
        <w:rPr>
          <w:rFonts w:hint="eastAsia" w:eastAsia="宋体" w:cs="Times New Roman"/>
          <w:color w:val="auto"/>
          <w:highlight w:val="none"/>
          <w:lang w:val="en-US" w:eastAsia="zh-CN"/>
        </w:rPr>
        <w:t>或建筑工程施工总承包三级</w:t>
      </w:r>
      <w:r>
        <w:rPr>
          <w:rFonts w:hint="eastAsia" w:cs="Times New Roman"/>
          <w:color w:val="auto"/>
          <w:highlight w:val="none"/>
          <w:lang w:val="en-US" w:eastAsia="zh-CN"/>
        </w:rPr>
        <w:t>及其</w:t>
      </w:r>
      <w:r>
        <w:rPr>
          <w:rFonts w:hint="eastAsia" w:eastAsia="宋体" w:cs="Times New Roman"/>
          <w:color w:val="auto"/>
          <w:highlight w:val="none"/>
          <w:lang w:val="en-US" w:eastAsia="zh-CN"/>
        </w:rPr>
        <w:t>以上资质</w:t>
      </w:r>
      <w:r>
        <w:rPr>
          <w:rFonts w:hint="eastAsia" w:ascii="宋体" w:hAnsi="宋体" w:cs="Times New Roman" w:eastAsiaTheme="minorEastAsia"/>
          <w:b w:val="0"/>
          <w:bCs/>
          <w:kern w:val="0"/>
          <w:sz w:val="24"/>
          <w:szCs w:val="24"/>
          <w:highlight w:val="none"/>
          <w:lang w:eastAsia="zh-CN"/>
        </w:rPr>
        <w:t>，具备有效的安全生产许可证。</w:t>
      </w:r>
    </w:p>
    <w:p w14:paraId="75E43BA3">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具有建筑二级建造师或装饰装修施工员证书的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安全协管人员不低于1人，劳资</w:t>
      </w:r>
      <w:r>
        <w:rPr>
          <w:rFonts w:hint="eastAsia" w:ascii="宋体" w:hAnsi="宋体" w:cs="Times New Roman" w:eastAsiaTheme="minorEastAsia"/>
          <w:b w:val="0"/>
          <w:bCs/>
          <w:kern w:val="0"/>
          <w:sz w:val="24"/>
          <w:szCs w:val="24"/>
          <w:highlight w:val="none"/>
          <w:lang w:val="en-US" w:eastAsia="zh-CN"/>
        </w:rPr>
        <w:t>资料</w:t>
      </w:r>
      <w:r>
        <w:rPr>
          <w:rFonts w:hint="eastAsia" w:ascii="宋体" w:hAnsi="宋体" w:cs="Times New Roman" w:eastAsiaTheme="minorEastAsia"/>
          <w:b w:val="0"/>
          <w:bCs/>
          <w:kern w:val="0"/>
          <w:sz w:val="24"/>
          <w:szCs w:val="24"/>
          <w:highlight w:val="none"/>
          <w:lang w:eastAsia="zh-CN"/>
        </w:rPr>
        <w:t>管理人员1人，</w:t>
      </w:r>
      <w:r>
        <w:rPr>
          <w:rFonts w:hint="eastAsia" w:ascii="宋体" w:hAnsi="宋体" w:cs="Times New Roman" w:eastAsiaTheme="minorEastAsia"/>
          <w:b w:val="0"/>
          <w:bCs/>
          <w:kern w:val="0"/>
          <w:sz w:val="24"/>
          <w:szCs w:val="24"/>
          <w:highlight w:val="none"/>
          <w:lang w:val="en-US" w:eastAsia="zh-CN"/>
        </w:rPr>
        <w:t>劳务造价专员1名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材料员1名（劳务员、造价专员、材料员三个岗位可一人兼2个岗位（最少2人），其他管理岗位不得兼职）需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numPr>
          <w:ilvl w:val="0"/>
          <w:numId w:val="3"/>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cs="Times New Roman"/>
          <w:b/>
          <w:bCs/>
          <w:color w:val="auto"/>
          <w:highlight w:val="none"/>
          <w:u w:val="single"/>
          <w:lang w:val="en-US" w:eastAsia="zh-CN"/>
        </w:rPr>
        <w:t xml:space="preserve"> 4197925.80 </w:t>
      </w:r>
      <w:r>
        <w:rPr>
          <w:rFonts w:hint="eastAsia" w:ascii="Times New Roman" w:hAnsi="Times New Roman" w:eastAsia="宋体" w:cs="Times New Roman"/>
          <w:b/>
          <w:bCs/>
          <w:color w:val="auto"/>
          <w:highlight w:val="none"/>
          <w:u w:val="single"/>
          <w:lang w:val="en-US" w:eastAsia="zh-CN"/>
        </w:rPr>
        <w:t>元</w:t>
      </w:r>
      <w:r>
        <w:rPr>
          <w:rFonts w:hint="eastAsia" w:ascii="宋体" w:hAnsi="宋体" w:cs="Times New Roman" w:eastAsiaTheme="minorEastAsia"/>
          <w:b/>
          <w:bCs/>
          <w:kern w:val="0"/>
          <w:sz w:val="24"/>
          <w:szCs w:val="24"/>
          <w:highlight w:val="none"/>
          <w:lang w:val="en-US" w:eastAsia="zh-CN"/>
        </w:rPr>
        <w:t>(大写：肆佰壹拾玖万柒仟玖佰贰拾伍元捌角）</w:t>
      </w:r>
      <w:r>
        <w:rPr>
          <w:rFonts w:hint="eastAsia" w:ascii="宋体" w:hAnsi="宋体" w:cs="Times New Roman" w:eastAsiaTheme="minorEastAsia"/>
          <w:b w:val="0"/>
          <w:bCs/>
          <w:kern w:val="0"/>
          <w:sz w:val="24"/>
          <w:szCs w:val="24"/>
          <w:highlight w:val="none"/>
          <w:lang w:val="en-US" w:eastAsia="zh-CN"/>
        </w:rPr>
        <w:t>，以清单总价报下浮比例（详附件6）。本次招标的分包单位需根据招标工作内容、工程清单及图纸自行考虑并报价，</w:t>
      </w:r>
      <w:r>
        <w:rPr>
          <w:rFonts w:ascii="宋体" w:hAnsi="宋体" w:eastAsia="宋体" w:cs="宋体"/>
          <w:sz w:val="24"/>
          <w:szCs w:val="24"/>
          <w:highlight w:val="none"/>
        </w:rPr>
        <w:t>工程结算费最终以竣工验收合格后业主认可的工程造价、及我单位的控制价进行下浮（下浮</w:t>
      </w:r>
      <w:r>
        <w:rPr>
          <w:rFonts w:hint="eastAsia" w:ascii="宋体" w:hAnsi="宋体" w:cs="宋体"/>
          <w:sz w:val="24"/>
          <w:szCs w:val="24"/>
          <w:highlight w:val="none"/>
          <w:lang w:val="en-US" w:eastAsia="zh-CN"/>
        </w:rPr>
        <w:t>比例与中标</w:t>
      </w:r>
      <w:r>
        <w:rPr>
          <w:rFonts w:ascii="宋体" w:hAnsi="宋体" w:eastAsia="宋体" w:cs="宋体"/>
          <w:sz w:val="24"/>
          <w:szCs w:val="24"/>
          <w:highlight w:val="none"/>
        </w:rPr>
        <w:t>下浮率一致）</w:t>
      </w:r>
      <w:r>
        <w:rPr>
          <w:rFonts w:hint="eastAsia" w:ascii="宋体" w:hAnsi="宋体" w:cs="Times New Roman" w:eastAsiaTheme="minorEastAsia"/>
          <w:b w:val="0"/>
          <w:bCs/>
          <w:kern w:val="0"/>
          <w:sz w:val="24"/>
          <w:szCs w:val="24"/>
          <w:highlight w:val="none"/>
          <w:lang w:eastAsia="zh-CN"/>
        </w:rPr>
        <w:t>。</w:t>
      </w:r>
    </w:p>
    <w:p w14:paraId="59A0A9A4">
      <w:pPr>
        <w:pStyle w:val="4"/>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rFonts w:hint="eastAsia"/>
          <w:b/>
          <w:bCs/>
          <w:color w:val="auto"/>
          <w:highlight w:val="none"/>
          <w:lang w:val="en-US" w:eastAsia="zh-CN"/>
        </w:rPr>
      </w:pPr>
      <w:r>
        <w:rPr>
          <w:b/>
          <w:bCs/>
          <w:color w:val="auto"/>
          <w:highlight w:val="none"/>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b/>
          <w:bCs/>
          <w:color w:val="auto"/>
          <w:highlight w:val="none"/>
        </w:rPr>
        <w:t>新增、变更工程按</w:t>
      </w:r>
      <w:r>
        <w:rPr>
          <w:rFonts w:hint="eastAsia"/>
          <w:b/>
          <w:bCs/>
          <w:color w:val="auto"/>
          <w:highlight w:val="none"/>
          <w:lang w:val="en-US" w:eastAsia="zh-CN"/>
        </w:rPr>
        <w:t>业主</w:t>
      </w:r>
      <w:r>
        <w:rPr>
          <w:b/>
          <w:bCs/>
          <w:color w:val="auto"/>
          <w:highlight w:val="none"/>
        </w:rPr>
        <w:t>审定的已完成工程</w:t>
      </w:r>
      <w:r>
        <w:rPr>
          <w:rFonts w:hint="eastAsia"/>
          <w:b/>
          <w:bCs/>
          <w:color w:val="auto"/>
          <w:highlight w:val="none"/>
          <w:lang w:val="en-US" w:eastAsia="zh-CN"/>
        </w:rPr>
        <w:t>产值按分包单位下浮后的</w:t>
      </w:r>
      <w:r>
        <w:rPr>
          <w:b/>
          <w:bCs/>
          <w:color w:val="auto"/>
          <w:highlight w:val="none"/>
        </w:rPr>
        <w:t>50%</w:t>
      </w:r>
      <w:r>
        <w:rPr>
          <w:rFonts w:hint="eastAsia"/>
          <w:b/>
          <w:bCs/>
          <w:color w:val="auto"/>
          <w:highlight w:val="none"/>
          <w:lang w:val="en-US" w:eastAsia="zh-CN"/>
        </w:rPr>
        <w:t>计入进度，随进度支付条款</w:t>
      </w:r>
      <w:r>
        <w:rPr>
          <w:b/>
          <w:bCs/>
          <w:color w:val="auto"/>
          <w:highlight w:val="none"/>
        </w:rPr>
        <w:t>进行拨付，剩余部分待审计结束后支付至结算总价的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r>
        <w:rPr>
          <w:rFonts w:hint="eastAsia"/>
          <w:b/>
          <w:bCs/>
          <w:color w:val="auto"/>
          <w:highlight w:val="none"/>
          <w:lang w:val="en-US" w:eastAsia="zh-CN"/>
        </w:rPr>
        <w:t xml:space="preserve"> </w:t>
      </w:r>
    </w:p>
    <w:p w14:paraId="6B327C1B">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00187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cs="Times New Roman"/>
          <w:color w:val="auto"/>
          <w:kern w:val="2"/>
          <w:sz w:val="24"/>
          <w:highlight w:val="none"/>
          <w:u w:val="none"/>
          <w:lang w:val="en-US" w:eastAsia="zh-CN" w:bidi="ar-SA"/>
        </w:rPr>
      </w:pPr>
      <w:r>
        <w:rPr>
          <w:rFonts w:hint="eastAsia" w:ascii="Times New Roman" w:hAnsi="Times New Roman" w:cs="Times New Roman"/>
          <w:color w:val="auto"/>
          <w:kern w:val="2"/>
          <w:sz w:val="24"/>
          <w:highlight w:val="none"/>
          <w:u w:val="none"/>
          <w:lang w:val="en-US" w:eastAsia="zh-CN" w:bidi="ar-SA"/>
        </w:rPr>
        <w:t>下浮比例最高</w:t>
      </w:r>
      <w:r>
        <w:rPr>
          <w:rFonts w:hint="default" w:ascii="Times New Roman" w:hAnsi="Times New Roman" w:cs="Times New Roman"/>
          <w:color w:val="auto"/>
          <w:kern w:val="2"/>
          <w:sz w:val="24"/>
          <w:highlight w:val="none"/>
          <w:u w:val="none"/>
          <w:lang w:val="en-US" w:eastAsia="zh-CN" w:bidi="ar-SA"/>
        </w:rPr>
        <w:t>的单位</w:t>
      </w:r>
      <w:r>
        <w:rPr>
          <w:rFonts w:hint="eastAsia" w:ascii="Times New Roman" w:hAnsi="Times New Roman" w:cs="Times New Roman"/>
          <w:color w:val="auto"/>
          <w:kern w:val="2"/>
          <w:sz w:val="24"/>
          <w:highlight w:val="none"/>
          <w:u w:val="none"/>
          <w:lang w:val="en-US" w:eastAsia="zh-CN" w:bidi="ar-SA"/>
        </w:rPr>
        <w:t>中选。（若出现两家及以上单位报价相同则采取抽乒乓球方式确定中选单位，抽取方式：在密闭箱内放入与参与抽取的比选申请人相同数量的乒乓球，且乒乓球在密闭箱中抓取号球，由抽到号球1的单位中选。</w:t>
      </w:r>
      <w:r>
        <w:rPr>
          <w:rFonts w:hint="eastAsia" w:cs="Times New Roman"/>
          <w:color w:val="auto"/>
          <w:kern w:val="2"/>
          <w:sz w:val="24"/>
          <w:highlight w:val="none"/>
          <w:u w:val="none"/>
          <w:lang w:val="en-US" w:eastAsia="zh-CN" w:bidi="ar-SA"/>
        </w:rPr>
        <w:t>）</w:t>
      </w:r>
    </w:p>
    <w:p w14:paraId="6BE1F8F6">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5.定标：</w:t>
      </w:r>
    </w:p>
    <w:p w14:paraId="3EFCBC47">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原则上应</w:t>
      </w:r>
      <w:r>
        <w:rPr>
          <w:rFonts w:hint="eastAsia" w:ascii="Times New Roman" w:hAnsi="Times New Roman" w:eastAsia="宋体" w:cs="Times New Roman"/>
          <w:color w:val="auto"/>
          <w:kern w:val="2"/>
          <w:sz w:val="24"/>
          <w:highlight w:val="none"/>
          <w:u w:val="none"/>
          <w:lang w:val="en-US" w:eastAsia="zh-CN" w:bidi="ar-SA"/>
        </w:rPr>
        <w:t>当</w:t>
      </w:r>
      <w:r>
        <w:rPr>
          <w:rFonts w:hint="eastAsia" w:cs="Times New Roman"/>
          <w:color w:val="auto"/>
          <w:kern w:val="2"/>
          <w:sz w:val="24"/>
          <w:highlight w:val="none"/>
          <w:u w:val="none"/>
          <w:lang w:val="en-US" w:eastAsia="zh-CN" w:bidi="ar-SA"/>
        </w:rPr>
        <w:t>下浮比例最高</w:t>
      </w:r>
      <w:r>
        <w:rPr>
          <w:rFonts w:hint="eastAsia" w:ascii="Times New Roman" w:hAnsi="Times New Roman" w:eastAsia="宋体" w:cs="Times New Roman"/>
          <w:color w:val="auto"/>
          <w:kern w:val="2"/>
          <w:sz w:val="24"/>
          <w:highlight w:val="none"/>
          <w:u w:val="none"/>
          <w:lang w:val="en-US" w:eastAsia="zh-CN" w:bidi="ar-SA"/>
        </w:rPr>
        <w:t>的单位确定为</w:t>
      </w:r>
      <w:r>
        <w:rPr>
          <w:rFonts w:hint="eastAsia" w:ascii="宋体" w:hAnsi="宋体" w:cs="Times New Roman" w:eastAsiaTheme="minorEastAsia"/>
          <w:b w:val="0"/>
          <w:bCs/>
          <w:kern w:val="0"/>
          <w:sz w:val="24"/>
          <w:szCs w:val="24"/>
          <w:highlight w:val="none"/>
          <w:lang w:val="en-US" w:eastAsia="zh-CN"/>
        </w:rPr>
        <w:t>拟中标单位。中标单位放弃中标、因不可抗力不能履行合同，或者被查实存在影响中标结果的违法行为等情形，不符合中标条件的，可以依次确认其他中标候选人为拟中标人，也可以重新招标。</w:t>
      </w:r>
    </w:p>
    <w:p w14:paraId="6C3C2B89">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50B6926B">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各投标单位需在2025年11月18日17点前向鹏安公司</w:t>
      </w:r>
      <w:r>
        <w:rPr>
          <w:rFonts w:hint="eastAsia" w:ascii="宋体" w:hAnsi="宋体" w:cs="Times New Roman" w:eastAsiaTheme="minorEastAsia"/>
          <w:b/>
          <w:bCs w:val="0"/>
          <w:kern w:val="0"/>
          <w:sz w:val="24"/>
          <w:szCs w:val="24"/>
          <w:highlight w:val="none"/>
          <w:lang w:val="en-US" w:eastAsia="zh-CN"/>
        </w:rPr>
        <w:t>缴纳投标保证金，金额为5000元（详附件5，并提供转款凭证）</w:t>
      </w:r>
      <w:r>
        <w:rPr>
          <w:rFonts w:hint="eastAsia" w:ascii="宋体" w:hAnsi="宋体" w:cs="Times New Roman" w:eastAsiaTheme="minorEastAsia"/>
          <w:b w:val="0"/>
          <w:bCs/>
          <w:kern w:val="0"/>
          <w:sz w:val="24"/>
          <w:szCs w:val="24"/>
          <w:highlight w:val="none"/>
          <w:lang w:val="en-US" w:eastAsia="zh-CN"/>
        </w:rPr>
        <w:t xml:space="preserve">，公示中标后未中标单位7个工作日内原路退回，中标单位签订合同后原路退回。若因中标单位自身原因放弃中标资格的，保证金不予退还。  </w:t>
      </w:r>
      <w:r>
        <w:rPr>
          <w:rFonts w:hint="eastAsia" w:ascii="宋体" w:hAnsi="宋体" w:cs="Times New Roman" w:eastAsiaTheme="minorEastAsia"/>
          <w:b/>
          <w:bCs w:val="0"/>
          <w:kern w:val="0"/>
          <w:sz w:val="24"/>
          <w:szCs w:val="24"/>
          <w:highlight w:val="none"/>
          <w:lang w:val="en-US" w:eastAsia="zh-CN"/>
        </w:rPr>
        <w:t xml:space="preserve">         </w:t>
      </w:r>
    </w:p>
    <w:p w14:paraId="4C9BF691">
      <w:pPr>
        <w:widowControl/>
        <w:numPr>
          <w:ilvl w:val="0"/>
          <w:numId w:val="0"/>
        </w:numPr>
        <w:spacing w:line="360" w:lineRule="auto"/>
        <w:ind w:leftChars="2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Hans"/>
        </w:rPr>
        <w:t>收款账户</w:t>
      </w:r>
      <w:r>
        <w:rPr>
          <w:rFonts w:hint="eastAsia" w:ascii="宋体" w:hAnsi="宋体" w:eastAsia="宋体" w:cs="宋体"/>
          <w:b w:val="0"/>
          <w:bCs w:val="0"/>
          <w:color w:val="auto"/>
          <w:sz w:val="21"/>
          <w:szCs w:val="21"/>
          <w:highlight w:val="none"/>
          <w:lang w:val="en-US" w:eastAsia="zh-CN"/>
        </w:rPr>
        <w:t>户名：</w:t>
      </w:r>
      <w:r>
        <w:rPr>
          <w:rFonts w:hint="eastAsia" w:ascii="宋体" w:hAnsi="宋体" w:eastAsia="宋体" w:cs="宋体"/>
          <w:b w:val="0"/>
          <w:bCs w:val="0"/>
          <w:color w:val="auto"/>
          <w:sz w:val="21"/>
          <w:szCs w:val="21"/>
          <w:highlight w:val="none"/>
          <w:u w:val="single"/>
          <w:lang w:val="en-US" w:eastAsia="zh-CN"/>
        </w:rPr>
        <w:t xml:space="preserve"> 遂宁市鹏安投资有限公司 </w:t>
      </w:r>
      <w:r>
        <w:rPr>
          <w:rFonts w:hint="eastAsia" w:ascii="宋体" w:hAnsi="宋体" w:eastAsia="宋体" w:cs="宋体"/>
          <w:b w:val="0"/>
          <w:bCs w:val="0"/>
          <w:color w:val="auto"/>
          <w:sz w:val="21"/>
          <w:szCs w:val="21"/>
          <w:highlight w:val="none"/>
          <w:lang w:val="en-US" w:eastAsia="zh-CN"/>
        </w:rPr>
        <w:t>；</w:t>
      </w:r>
    </w:p>
    <w:p w14:paraId="7C1F1F86">
      <w:pPr>
        <w:widowControl/>
        <w:numPr>
          <w:ilvl w:val="0"/>
          <w:numId w:val="0"/>
        </w:numPr>
        <w:spacing w:line="360" w:lineRule="auto"/>
        <w:ind w:leftChars="2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卡号：</w:t>
      </w: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u w:val="single"/>
          <w:lang w:val="en-US" w:eastAsia="zh-Hans"/>
        </w:rPr>
        <w:t>1234517040649308</w:t>
      </w: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 xml:space="preserve">；    </w:t>
      </w:r>
    </w:p>
    <w:p w14:paraId="6FF1EB0F">
      <w:pPr>
        <w:widowControl/>
        <w:numPr>
          <w:ilvl w:val="0"/>
          <w:numId w:val="0"/>
        </w:numPr>
        <w:spacing w:line="360" w:lineRule="auto"/>
        <w:ind w:left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eastAsia="宋体" w:cs="宋体"/>
          <w:b w:val="0"/>
          <w:bCs w:val="0"/>
          <w:color w:val="auto"/>
          <w:sz w:val="21"/>
          <w:szCs w:val="21"/>
          <w:highlight w:val="none"/>
          <w:lang w:val="en-US" w:eastAsia="zh-CN"/>
        </w:rPr>
        <w:t>开户行：</w:t>
      </w: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u w:val="single"/>
          <w:lang w:val="en-US" w:eastAsia="zh-Hans"/>
        </w:rPr>
        <w:t>遂宁安居融兴村镇银行有限责任公司琼江支行</w:t>
      </w: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bCs/>
          <w:color w:val="auto"/>
          <w:sz w:val="21"/>
          <w:szCs w:val="21"/>
          <w:highlight w:val="none"/>
          <w:lang w:val="en-US" w:eastAsia="zh-CN"/>
        </w:rPr>
        <w:t xml:space="preserve"> </w:t>
      </w:r>
      <w:r>
        <w:rPr>
          <w:rFonts w:hint="eastAsia" w:ascii="宋体" w:hAnsi="宋体" w:cs="Times New Roman" w:eastAsiaTheme="minorEastAsia"/>
          <w:b/>
          <w:bCs w:val="0"/>
          <w:kern w:val="0"/>
          <w:sz w:val="24"/>
          <w:szCs w:val="24"/>
          <w:highlight w:val="none"/>
          <w:lang w:val="en-US" w:eastAsia="zh-CN"/>
        </w:rPr>
        <w:t xml:space="preserve">                      </w:t>
      </w:r>
    </w:p>
    <w:p w14:paraId="608737E8">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中标单位需在中标公示期后5个工作日内缴纳中标金额的1%作为履约保证金（不接受保函）。</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交至鹏安公司，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①工程费用按中标单价计算，最终工程结算以招标控制价*中标下浮率为准。工程费用包含人工费、材料费、机械费、措施费、劳保费、管理费、利润、辅材费、用工人员保险费、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bookmarkStart w:id="0" w:name="_GoBack"/>
      <w:bookmarkEnd w:id="0"/>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②变更约定:  变更的工程费用按招标控制价下浮N%办理工程结算(N为该分包的中标下浮率点)。施工过程中新增、变更工程按业主审定的已完成工程产值按分包单位下浮后的50%计入进度，随进度支付条款进行拨付。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keepNext w:val="0"/>
        <w:keepLines w:val="0"/>
        <w:pageBreakBefore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标书要求</w:t>
      </w:r>
      <w:r>
        <w:rPr>
          <w:rFonts w:hint="eastAsia"/>
          <w:color w:val="auto"/>
          <w:highlight w:val="none"/>
          <w:lang w:eastAsia="zh-CN"/>
        </w:rPr>
        <w:t>：</w:t>
      </w:r>
    </w:p>
    <w:p w14:paraId="3DDE4654">
      <w:pPr>
        <w:pStyle w:val="4"/>
        <w:keepNext w:val="0"/>
        <w:keepLines w:val="0"/>
        <w:pageBreakBefore w:val="0"/>
        <w:numPr>
          <w:ilvl w:val="0"/>
          <w:numId w:val="8"/>
        </w:numPr>
        <w:kinsoku/>
        <w:wordWrap/>
        <w:overflowPunct/>
        <w:topLinePunct w:val="0"/>
        <w:autoSpaceDE/>
        <w:autoSpaceDN/>
        <w:bidi w:val="0"/>
        <w:adjustRightInd/>
        <w:snapToGrid/>
        <w:spacing w:after="0" w:afterLines="0" w:line="360" w:lineRule="auto"/>
        <w:ind w:left="0" w:leftChars="0" w:firstLine="482" w:firstLineChars="200"/>
        <w:textAlignment w:val="auto"/>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numPr>
          <w:ilvl w:val="0"/>
          <w:numId w:val="8"/>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numPr>
          <w:ilvl w:val="0"/>
          <w:numId w:val="8"/>
        </w:numPr>
        <w:ind w:left="0" w:leftChars="0" w:firstLine="480" w:firstLineChars="0"/>
        <w:rPr>
          <w:b w:val="0"/>
          <w:color w:val="auto"/>
          <w:highlight w:val="none"/>
        </w:rPr>
      </w:pPr>
      <w:r>
        <w:rPr>
          <w:color w:val="auto"/>
          <w:highlight w:val="none"/>
        </w:rPr>
        <w:t>如公司法人未到开标现场，请提供投标授权书；</w:t>
      </w:r>
    </w:p>
    <w:p w14:paraId="45543585">
      <w:pPr>
        <w:pStyle w:val="4"/>
        <w:numPr>
          <w:ilvl w:val="0"/>
          <w:numId w:val="8"/>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keepNext w:val="0"/>
        <w:keepLines w:val="0"/>
        <w:pageBreakBefore w:val="0"/>
        <w:widowControl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投标文件组成要求</w:t>
      </w:r>
      <w:r>
        <w:rPr>
          <w:rFonts w:hint="eastAsia"/>
          <w:color w:val="auto"/>
          <w:highlight w:val="none"/>
          <w:lang w:eastAsia="zh-CN"/>
        </w:rPr>
        <w:t>：</w:t>
      </w:r>
    </w:p>
    <w:p w14:paraId="401182ED">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ascii="Times New Roman" w:hAnsi="Times New Roman" w:eastAsia="宋体" w:cs="Times New Roman"/>
          <w:color w:val="auto"/>
          <w:highlight w:val="none"/>
          <w:lang w:val="en-US" w:eastAsia="zh-CN"/>
        </w:rPr>
        <w:t>建筑装修装饰工程专业承包</w:t>
      </w:r>
      <w:r>
        <w:rPr>
          <w:rFonts w:hint="eastAsia" w:cs="Times New Roman"/>
          <w:color w:val="auto"/>
          <w:highlight w:val="none"/>
          <w:lang w:val="en-US" w:eastAsia="zh-CN"/>
        </w:rPr>
        <w:t>二级及其以上</w:t>
      </w:r>
      <w:r>
        <w:rPr>
          <w:rFonts w:hint="eastAsia" w:ascii="Times New Roman" w:hAnsi="Times New Roman" w:eastAsia="宋体" w:cs="Times New Roman"/>
          <w:color w:val="auto"/>
          <w:highlight w:val="none"/>
          <w:lang w:val="en-US" w:eastAsia="zh-CN"/>
        </w:rPr>
        <w:t>资质</w:t>
      </w:r>
      <w:r>
        <w:rPr>
          <w:rFonts w:hint="eastAsia" w:cs="Times New Roman"/>
          <w:color w:val="auto"/>
          <w:highlight w:val="none"/>
          <w:lang w:val="en-US" w:eastAsia="zh-CN"/>
        </w:rPr>
        <w:t>，</w:t>
      </w:r>
      <w:r>
        <w:rPr>
          <w:rFonts w:hint="eastAsia" w:eastAsia="宋体" w:cs="Times New Roman"/>
          <w:color w:val="auto"/>
          <w:highlight w:val="none"/>
          <w:lang w:val="en-US" w:eastAsia="zh-CN"/>
        </w:rPr>
        <w:t>或建筑工程施工总承包三级</w:t>
      </w:r>
      <w:r>
        <w:rPr>
          <w:rFonts w:hint="eastAsia" w:cs="Times New Roman"/>
          <w:color w:val="auto"/>
          <w:highlight w:val="none"/>
          <w:lang w:val="en-US" w:eastAsia="zh-CN"/>
        </w:rPr>
        <w:t>及其</w:t>
      </w:r>
      <w:r>
        <w:rPr>
          <w:rFonts w:hint="eastAsia" w:eastAsia="宋体" w:cs="Times New Roman"/>
          <w:color w:val="auto"/>
          <w:highlight w:val="none"/>
          <w:lang w:val="en-US" w:eastAsia="zh-CN"/>
        </w:rPr>
        <w:t>以上资质</w:t>
      </w:r>
      <w:r>
        <w:rPr>
          <w:color w:val="auto"/>
          <w:highlight w:val="none"/>
        </w:rPr>
        <w:t>、安全生产许可证复印件；</w:t>
      </w:r>
    </w:p>
    <w:p w14:paraId="79C21AAF">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0896DF36">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highlight w:val="none"/>
          <w:lang w:val="en-US" w:eastAsia="zh-CN"/>
        </w:rPr>
        <w:t>投标保证金缴纳凭证；</w:t>
      </w:r>
    </w:p>
    <w:p w14:paraId="14696C2B">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0F9CEE69">
      <w:pPr>
        <w:pStyle w:val="4"/>
        <w:widowControl/>
        <w:numPr>
          <w:ilvl w:val="0"/>
          <w:numId w:val="10"/>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4"/>
        <w:widowControl/>
        <w:numPr>
          <w:ilvl w:val="0"/>
          <w:numId w:val="10"/>
        </w:numPr>
        <w:ind w:left="0" w:leftChars="0" w:firstLine="480" w:firstLineChars="0"/>
        <w:rPr>
          <w:b w:val="0"/>
          <w:color w:val="auto"/>
          <w:highlight w:val="none"/>
        </w:rPr>
      </w:pPr>
      <w:r>
        <w:rPr>
          <w:color w:val="auto"/>
          <w:highlight w:val="none"/>
        </w:rPr>
        <w:t>中标人在签订合同时向招标人提出附加条件；</w:t>
      </w:r>
    </w:p>
    <w:p w14:paraId="6022AA99">
      <w:pPr>
        <w:pStyle w:val="4"/>
        <w:widowControl/>
        <w:numPr>
          <w:ilvl w:val="0"/>
          <w:numId w:val="10"/>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4"/>
        <w:widowControl/>
        <w:numPr>
          <w:ilvl w:val="0"/>
          <w:numId w:val="10"/>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widowControl/>
        <w:numPr>
          <w:ilvl w:val="0"/>
          <w:numId w:val="10"/>
        </w:numPr>
        <w:ind w:left="0" w:leftChars="0" w:firstLine="480" w:firstLineChars="0"/>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19</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上午10</w:t>
      </w:r>
      <w:r>
        <w:rPr>
          <w:rFonts w:hint="eastAsia" w:ascii="宋体" w:hAnsi="宋体" w:eastAsia="宋体" w:cs="宋体"/>
          <w:b/>
          <w:bCs/>
          <w:color w:val="auto"/>
          <w:sz w:val="24"/>
          <w:szCs w:val="24"/>
          <w:highlight w:val="none"/>
        </w:rPr>
        <w:t>点</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上午10点</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0825-8666908。</w:t>
      </w: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599FA0F9">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投标单位保证金缴纳凭证；</w:t>
      </w:r>
    </w:p>
    <w:p w14:paraId="1BEDD507">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0F191116">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default"/>
          <w:lang w:val="en-US"/>
        </w:rPr>
      </w:pPr>
      <w:r>
        <w:rPr>
          <w:color w:val="auto"/>
          <w:highlight w:val="none"/>
          <w:u w:val="none"/>
        </w:rPr>
        <w:t>项目清单</w:t>
      </w:r>
      <w:r>
        <w:rPr>
          <w:rFonts w:hint="eastAsia"/>
          <w:color w:val="auto"/>
          <w:highlight w:val="none"/>
          <w:u w:val="none"/>
          <w:lang w:eastAsia="zh-CN"/>
        </w:rPr>
        <w:t>；</w:t>
      </w:r>
    </w:p>
    <w:p w14:paraId="7E8C88DF">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default"/>
          <w:lang w:val="en-US"/>
        </w:rPr>
      </w:pPr>
      <w:r>
        <w:rPr>
          <w:rFonts w:hint="eastAsia"/>
          <w:color w:val="auto"/>
          <w:highlight w:val="none"/>
          <w:u w:val="none"/>
          <w:lang w:val="en-US" w:eastAsia="zh-CN"/>
        </w:rPr>
        <w:t>门窗、栏杆统计表</w:t>
      </w:r>
      <w:r>
        <w:rPr>
          <w:rFonts w:hint="eastAsia"/>
          <w:color w:val="auto"/>
          <w:highlight w:val="none"/>
          <w:u w:val="none"/>
          <w:lang w:eastAsia="zh-CN"/>
        </w:rPr>
        <w:t>。</w:t>
      </w:r>
    </w:p>
    <w:p w14:paraId="49EE2C54">
      <w:pPr>
        <w:rPr>
          <w:rFonts w:hint="default"/>
          <w:lang w:val="en-US"/>
        </w:rPr>
      </w:pP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09DEBB9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077" w:right="1134" w:bottom="1077" w:left="1134"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11</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16</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3"/>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3"/>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3"/>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3"/>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4"/>
        </w:numPr>
        <w:ind w:left="0" w:leftChars="0" w:firstLine="480" w:firstLineChars="0"/>
        <w:rPr>
          <w:b w:val="0"/>
          <w:color w:val="auto"/>
          <w:highlight w:val="none"/>
        </w:rPr>
      </w:pPr>
      <w:r>
        <w:rPr>
          <w:color w:val="auto"/>
          <w:highlight w:val="none"/>
        </w:rPr>
        <w:t>资质：</w:t>
      </w:r>
      <w:r>
        <w:rPr>
          <w:rFonts w:hint="eastAsia" w:ascii="Times New Roman" w:hAnsi="Times New Roman" w:eastAsia="宋体" w:cs="Times New Roman"/>
          <w:color w:val="auto"/>
          <w:highlight w:val="none"/>
          <w:lang w:val="en-US" w:eastAsia="zh-CN"/>
        </w:rPr>
        <w:t>建筑装修装饰工程专业承包</w:t>
      </w:r>
      <w:r>
        <w:rPr>
          <w:rFonts w:hint="eastAsia" w:cs="Times New Roman"/>
          <w:color w:val="auto"/>
          <w:highlight w:val="none"/>
          <w:lang w:val="en-US" w:eastAsia="zh-CN"/>
        </w:rPr>
        <w:t>二级及其以上</w:t>
      </w:r>
      <w:r>
        <w:rPr>
          <w:rFonts w:hint="eastAsia" w:ascii="Times New Roman" w:hAnsi="Times New Roman" w:eastAsia="宋体" w:cs="Times New Roman"/>
          <w:color w:val="auto"/>
          <w:highlight w:val="none"/>
          <w:lang w:val="en-US" w:eastAsia="zh-CN"/>
        </w:rPr>
        <w:t>资质</w:t>
      </w:r>
      <w:r>
        <w:rPr>
          <w:rFonts w:hint="eastAsia" w:cs="Times New Roman"/>
          <w:color w:val="auto"/>
          <w:highlight w:val="none"/>
          <w:lang w:val="en-US" w:eastAsia="zh-CN"/>
        </w:rPr>
        <w:t>，</w:t>
      </w:r>
      <w:r>
        <w:rPr>
          <w:rFonts w:hint="eastAsia" w:eastAsia="宋体" w:cs="Times New Roman"/>
          <w:color w:val="auto"/>
          <w:highlight w:val="none"/>
          <w:lang w:val="en-US" w:eastAsia="zh-CN"/>
        </w:rPr>
        <w:t>或建筑工程施工总承包三级</w:t>
      </w:r>
      <w:r>
        <w:rPr>
          <w:rFonts w:hint="eastAsia" w:cs="Times New Roman"/>
          <w:color w:val="auto"/>
          <w:highlight w:val="none"/>
          <w:lang w:val="en-US" w:eastAsia="zh-CN"/>
        </w:rPr>
        <w:t>及其</w:t>
      </w:r>
      <w:r>
        <w:rPr>
          <w:rFonts w:hint="eastAsia" w:eastAsia="宋体" w:cs="Times New Roman"/>
          <w:color w:val="auto"/>
          <w:highlight w:val="none"/>
          <w:lang w:val="en-US" w:eastAsia="zh-CN"/>
        </w:rPr>
        <w:t>以上资质</w:t>
      </w:r>
      <w:r>
        <w:rPr>
          <w:color w:val="auto"/>
          <w:highlight w:val="none"/>
        </w:rPr>
        <w:t>。</w:t>
      </w:r>
    </w:p>
    <w:p w14:paraId="7176C957">
      <w:pPr>
        <w:pStyle w:val="4"/>
        <w:numPr>
          <w:ilvl w:val="0"/>
          <w:numId w:val="14"/>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4"/>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4"/>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4"/>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5"/>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5"/>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7778C24E">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p>
    <w:p w14:paraId="1C379157">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附建筑二级建造师或装饰装修施工员与安全员证书以及各人员劳动合同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22DA73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sectPr>
          <w:pgSz w:w="11906" w:h="16838"/>
          <w:pgMar w:top="1440" w:right="1080" w:bottom="1440" w:left="1080" w:header="851" w:footer="992" w:gutter="0"/>
          <w:cols w:space="720" w:num="1"/>
          <w:rtlGutter w:val="0"/>
          <w:docGrid w:type="lines" w:linePitch="319" w:charSpace="0"/>
        </w:sectPr>
      </w:pPr>
      <w:r>
        <w:rPr>
          <w:rFonts w:hint="eastAsia"/>
          <w:b/>
          <w:bCs/>
          <w:color w:val="auto"/>
          <w:highlight w:val="none"/>
          <w:lang w:val="en-US" w:eastAsia="zh-CN"/>
        </w:rPr>
        <w:t>注：</w:t>
      </w:r>
      <w:r>
        <w:rPr>
          <w:b/>
          <w:bCs/>
          <w:color w:val="auto"/>
          <w:highlight w:val="none"/>
        </w:rPr>
        <w:t>施工管理人员</w:t>
      </w:r>
      <w:r>
        <w:rPr>
          <w:rFonts w:hint="eastAsia"/>
          <w:b/>
          <w:bCs/>
          <w:color w:val="auto"/>
          <w:highlight w:val="none"/>
          <w:lang w:val="en-US" w:eastAsia="zh-CN"/>
        </w:rPr>
        <w:t>不低于1人，劳资资料管理人员不低于1人，安全协管人员不低于1人，造价专员不低于1人，材料员不低于1人</w:t>
      </w:r>
      <w:r>
        <w:rPr>
          <w:rFonts w:hint="eastAsia" w:ascii="Times New Roman" w:hAnsi="Times New Roman" w:eastAsia="宋体" w:cs="Times New Roman"/>
          <w:b/>
          <w:bCs/>
          <w:color w:val="auto"/>
          <w:highlight w:val="none"/>
          <w:lang w:val="en-US" w:eastAsia="zh-CN"/>
        </w:rPr>
        <w:t>（劳务员、造价专员、材料员三个岗位可一人兼2个岗位（最少2人），其他管理岗位不得兼职）。</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2E52615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37835BB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材料员可承担1个600万元以上和1个100万元以下的项目，且2个项目直线距离不超过5公里。</w:t>
      </w:r>
    </w:p>
    <w:p w14:paraId="35BCC6D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劳资资料管理人员、造价专员同期可承担1个600万元以上和2个</w:t>
      </w:r>
      <w:r>
        <w:rPr>
          <w:rFonts w:hint="eastAsia" w:ascii="宋体" w:hAnsi="宋体" w:cs="宋体"/>
          <w:color w:val="auto"/>
          <w:kern w:val="2"/>
          <w:sz w:val="24"/>
          <w:szCs w:val="24"/>
          <w:highlight w:val="none"/>
          <w:lang w:val="en-US" w:eastAsia="zh-CN" w:bidi="ar-SA"/>
        </w:rPr>
        <w:t>1</w:t>
      </w:r>
      <w:r>
        <w:rPr>
          <w:rFonts w:hint="eastAsia" w:ascii="宋体" w:hAnsi="宋体" w:eastAsia="宋体" w:cs="宋体"/>
          <w:color w:val="auto"/>
          <w:kern w:val="2"/>
          <w:sz w:val="24"/>
          <w:szCs w:val="24"/>
          <w:highlight w:val="none"/>
          <w:lang w:val="en-US" w:eastAsia="zh-CN" w:bidi="ar-SA"/>
        </w:rPr>
        <w:t>00万元以下的项目。</w:t>
      </w:r>
    </w:p>
    <w:p w14:paraId="6C80136F">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项目相关管理人员证书注册单位与投标单位不做要求，但必须为本项目实施过程中实际现场管理人员，履行对应职责，否则将按照公司规定处罚。</w:t>
      </w:r>
    </w:p>
    <w:p w14:paraId="39FA5993">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施工管理人员、安全协管人员、材料员在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512781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的施工管理人员、安全协管人员、材料员等主要管理人员离开施工现场每月累计超过3天的，应通知施工项目部，并征得施工项目部书面同意。</w:t>
      </w:r>
    </w:p>
    <w:p w14:paraId="196F7346">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1AFD9969">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擅自更换施工管理人员、安全协管人员、材料员，按3000元/次/人进行处罚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擅自更换劳资资料管理人员、造价专员，按2000元/次/人进行处罚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施工管理人员、安全协管人员、材料员不称职甲方要求更换的，每更换一人罚款3000元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更换人员应于3天内到场，每延迟一天罚款500元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项目其他管理人员不称职甲方要求更换的，每更换一人罚款2000元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31A587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r>
        <w:rPr>
          <w:rFonts w:hint="eastAsia" w:ascii="宋体" w:hAnsi="宋体" w:eastAsia="宋体" w:cs="宋体"/>
          <w:color w:val="auto"/>
          <w:kern w:val="2"/>
          <w:sz w:val="24"/>
          <w:szCs w:val="24"/>
          <w:highlight w:val="none"/>
          <w:lang w:val="en-US" w:eastAsia="zh-CN" w:bidi="ar-SA"/>
        </w:rPr>
        <w:t>9.经项目部同意批准更换项目管理人员，施工管理人员、安全协管人员、材料员每人次罚款2000元，项目其他管理人员1000元。</w:t>
      </w:r>
    </w:p>
    <w:p w14:paraId="0A47C4B9">
      <w:pPr>
        <w:pStyle w:val="8"/>
        <w:ind w:left="0" w:leftChars="0" w:firstLine="0" w:firstLineChars="0"/>
        <w:rPr>
          <w:rFonts w:hint="eastAsia"/>
          <w:b/>
          <w:bCs/>
          <w:color w:val="auto"/>
          <w:highlight w:val="none"/>
          <w:lang w:val="en-US" w:eastAsia="zh-CN"/>
        </w:rPr>
      </w:pPr>
    </w:p>
    <w:p w14:paraId="1B8F6869">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 投标保证金（需附交易记录或截图或转款凭证等形式，加盖单位公章）</w:t>
      </w:r>
    </w:p>
    <w:tbl>
      <w:tblPr>
        <w:tblStyle w:val="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3"/>
        <w:gridCol w:w="3063"/>
        <w:gridCol w:w="2878"/>
        <w:gridCol w:w="3957"/>
        <w:gridCol w:w="3957"/>
      </w:tblGrid>
      <w:tr w14:paraId="131AA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trPr>
        <w:tc>
          <w:tcPr>
            <w:tcW w:w="347" w:type="pct"/>
            <w:noWrap w:val="0"/>
            <w:vAlign w:val="center"/>
          </w:tcPr>
          <w:p w14:paraId="4F3B6E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028" w:type="pct"/>
            <w:noWrap w:val="0"/>
            <w:vAlign w:val="center"/>
          </w:tcPr>
          <w:p w14:paraId="342CBB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966" w:type="pct"/>
            <w:noWrap w:val="0"/>
            <w:vAlign w:val="center"/>
          </w:tcPr>
          <w:p w14:paraId="2E3284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lang w:val="en-US" w:eastAsia="zh-CN"/>
              </w:rPr>
              <w:t>控制价</w:t>
            </w:r>
          </w:p>
        </w:tc>
        <w:tc>
          <w:tcPr>
            <w:tcW w:w="1328" w:type="pct"/>
            <w:noWrap w:val="0"/>
            <w:vAlign w:val="center"/>
          </w:tcPr>
          <w:p w14:paraId="528DEA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投标保证金金额（元）</w:t>
            </w:r>
          </w:p>
        </w:tc>
        <w:tc>
          <w:tcPr>
            <w:tcW w:w="1328" w:type="pct"/>
            <w:noWrap w:val="0"/>
            <w:vAlign w:val="center"/>
          </w:tcPr>
          <w:p w14:paraId="15F02D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备注</w:t>
            </w:r>
          </w:p>
        </w:tc>
      </w:tr>
      <w:tr w14:paraId="78BE6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trPr>
        <w:tc>
          <w:tcPr>
            <w:tcW w:w="347" w:type="pct"/>
            <w:noWrap w:val="0"/>
            <w:vAlign w:val="center"/>
          </w:tcPr>
          <w:p w14:paraId="421E3C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028" w:type="pct"/>
            <w:noWrap w:val="0"/>
            <w:vAlign w:val="center"/>
          </w:tcPr>
          <w:p w14:paraId="3027B8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门窗工程专业分包</w:t>
            </w:r>
          </w:p>
        </w:tc>
        <w:tc>
          <w:tcPr>
            <w:tcW w:w="966" w:type="pct"/>
            <w:noWrap w:val="0"/>
            <w:vAlign w:val="center"/>
          </w:tcPr>
          <w:p w14:paraId="05FC7E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4197925.80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328" w:type="pct"/>
            <w:noWrap w:val="0"/>
            <w:vAlign w:val="center"/>
          </w:tcPr>
          <w:p w14:paraId="460649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5000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328" w:type="pct"/>
            <w:noWrap w:val="0"/>
            <w:vAlign w:val="center"/>
          </w:tcPr>
          <w:p w14:paraId="4618F13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pPr>
            <w:r>
              <w:rPr>
                <w:rFonts w:hint="eastAsia" w:ascii="仿宋_GB2312" w:hAnsi="仿宋_GB2312" w:eastAsia="仿宋_GB2312" w:cs="仿宋_GB2312"/>
                <w:b/>
                <w:bCs/>
                <w:sz w:val="30"/>
                <w:szCs w:val="30"/>
                <w:highlight w:val="none"/>
                <w:lang w:val="en-US" w:eastAsia="zh-CN"/>
              </w:rPr>
              <w:t>若因中标单位自身原因放弃中标资格的，保证金不予退还。</w:t>
            </w:r>
          </w:p>
        </w:tc>
      </w:tr>
    </w:tbl>
    <w:p w14:paraId="6E10EBF7">
      <w:pPr>
        <w:jc w:val="left"/>
        <w:rPr>
          <w:rFonts w:hint="default" w:ascii="仿宋_GB2312" w:hAnsi="仿宋_GB2312" w:eastAsia="仿宋_GB2312" w:cs="仿宋_GB2312"/>
          <w:b/>
          <w:bCs/>
          <w:kern w:val="0"/>
          <w:sz w:val="30"/>
          <w:szCs w:val="30"/>
          <w:highlight w:val="none"/>
          <w:lang w:val="en-US" w:eastAsia="zh-CN" w:bidi="ar-SA"/>
        </w:rPr>
      </w:pPr>
    </w:p>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0FC3EE0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sectPr>
          <w:pgSz w:w="16838" w:h="11906" w:orient="landscape"/>
          <w:pgMar w:top="1304" w:right="1080" w:bottom="1304" w:left="1080" w:header="851" w:footer="992" w:gutter="0"/>
          <w:cols w:space="720" w:num="1"/>
          <w:rtlGutter w:val="0"/>
          <w:docGrid w:type="lines" w:linePitch="319" w:charSpace="0"/>
        </w:sect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7D31C225">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 xml:space="preserve">附件六： </w:t>
      </w:r>
    </w:p>
    <w:p w14:paraId="415A667C">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u w:val="single"/>
          <w:lang w:val="en-US" w:eastAsia="zh-CN"/>
        </w:rPr>
      </w:pPr>
      <w:r>
        <w:rPr>
          <w:rFonts w:hint="eastAsia" w:ascii="宋体" w:hAnsi="宋体" w:cs="宋体"/>
          <w:b/>
          <w:color w:val="auto"/>
          <w:sz w:val="24"/>
          <w:szCs w:val="24"/>
          <w:highlight w:val="none"/>
          <w:u w:val="single"/>
          <w:lang w:val="en-US" w:eastAsia="zh-CN"/>
        </w:rPr>
        <w:t>遂宁市安居区冷链物流中心及配套设施建设项目</w:t>
      </w:r>
    </w:p>
    <w:p w14:paraId="5852241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仿宋_GB2312" w:hAnsi="仿宋_GB2312" w:eastAsia="仿宋_GB2312" w:cs="仿宋_GB2312"/>
          <w:kern w:val="0"/>
          <w:sz w:val="30"/>
          <w:szCs w:val="30"/>
          <w:highlight w:val="none"/>
          <w:lang w:val="en-US" w:eastAsia="zh-CN" w:bidi="ar-SA"/>
        </w:rPr>
      </w:pPr>
      <w:r>
        <w:rPr>
          <w:rFonts w:hint="eastAsia" w:ascii="宋体" w:hAnsi="宋体" w:eastAsia="宋体" w:cs="宋体"/>
          <w:b/>
          <w:color w:val="auto"/>
          <w:sz w:val="24"/>
          <w:szCs w:val="24"/>
          <w:highlight w:val="none"/>
          <w:lang w:val="en-US" w:eastAsia="zh-CN"/>
        </w:rPr>
        <w:t>报价表</w:t>
      </w:r>
      <w:r>
        <w:rPr>
          <w:rFonts w:hint="eastAsia" w:ascii="宋体" w:hAnsi="宋体" w:cs="宋体"/>
          <w:b/>
          <w:color w:val="auto"/>
          <w:sz w:val="24"/>
          <w:szCs w:val="24"/>
          <w:highlight w:val="none"/>
          <w:lang w:val="en-US" w:eastAsia="zh-CN"/>
        </w:rPr>
        <w:t>（第三次）</w:t>
      </w:r>
    </w:p>
    <w:tbl>
      <w:tblPr>
        <w:tblStyle w:val="9"/>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3761"/>
        <w:gridCol w:w="2888"/>
        <w:gridCol w:w="4985"/>
        <w:gridCol w:w="2272"/>
      </w:tblGrid>
      <w:tr w14:paraId="50DF3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327" w:type="pct"/>
            <w:noWrap w:val="0"/>
            <w:vAlign w:val="center"/>
          </w:tcPr>
          <w:p w14:paraId="3F02A3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263" w:type="pct"/>
            <w:noWrap w:val="0"/>
            <w:vAlign w:val="center"/>
          </w:tcPr>
          <w:p w14:paraId="49DB10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970" w:type="pct"/>
            <w:noWrap w:val="0"/>
            <w:vAlign w:val="center"/>
          </w:tcPr>
          <w:p w14:paraId="7672A2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674" w:type="pct"/>
            <w:noWrap w:val="0"/>
            <w:vAlign w:val="center"/>
          </w:tcPr>
          <w:p w14:paraId="31AEFC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763" w:type="pct"/>
            <w:noWrap w:val="0"/>
            <w:vAlign w:val="center"/>
          </w:tcPr>
          <w:p w14:paraId="5F9B8817">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19D24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327" w:type="pct"/>
            <w:noWrap w:val="0"/>
            <w:vAlign w:val="center"/>
          </w:tcPr>
          <w:p w14:paraId="79DA76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263" w:type="pct"/>
            <w:noWrap w:val="0"/>
            <w:vAlign w:val="center"/>
          </w:tcPr>
          <w:p w14:paraId="15D91B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门窗工程专业分包</w:t>
            </w:r>
          </w:p>
        </w:tc>
        <w:tc>
          <w:tcPr>
            <w:tcW w:w="970" w:type="pct"/>
            <w:noWrap w:val="0"/>
            <w:vAlign w:val="center"/>
          </w:tcPr>
          <w:p w14:paraId="6A7F63A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1200" w:firstLineChars="4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674" w:type="pct"/>
            <w:noWrap w:val="0"/>
            <w:vAlign w:val="center"/>
          </w:tcPr>
          <w:p w14:paraId="02F5F45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4197925.80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763" w:type="pct"/>
            <w:noWrap w:val="0"/>
            <w:vAlign w:val="center"/>
          </w:tcPr>
          <w:p w14:paraId="21A82E56">
            <w:pPr>
              <w:jc w:val="center"/>
              <w:rPr>
                <w:rFonts w:hint="eastAsia" w:ascii="仿宋_GB2312" w:hAnsi="仿宋_GB2312" w:eastAsia="仿宋_GB2312" w:cs="仿宋_GB2312"/>
                <w:sz w:val="30"/>
                <w:szCs w:val="30"/>
                <w:highlight w:val="none"/>
              </w:rPr>
            </w:pPr>
          </w:p>
        </w:tc>
      </w:tr>
    </w:tbl>
    <w:p w14:paraId="676DFF1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25D24A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36B464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639E0"/>
    <w:multiLevelType w:val="singleLevel"/>
    <w:tmpl w:val="8CC639E0"/>
    <w:lvl w:ilvl="0" w:tentative="0">
      <w:start w:val="1"/>
      <w:numFmt w:val="decimal"/>
      <w:lvlText w:val="%1."/>
      <w:lvlJc w:val="left"/>
      <w:pPr>
        <w:ind w:left="425" w:hanging="425"/>
      </w:pPr>
      <w:rPr>
        <w:rFonts w:hint="default"/>
      </w:rPr>
    </w:lvl>
  </w:abstractNum>
  <w:abstractNum w:abstractNumId="1">
    <w:nsid w:val="A28031F6"/>
    <w:multiLevelType w:val="singleLevel"/>
    <w:tmpl w:val="A28031F6"/>
    <w:lvl w:ilvl="0" w:tentative="0">
      <w:start w:val="1"/>
      <w:numFmt w:val="decimal"/>
      <w:lvlText w:val="%1."/>
      <w:lvlJc w:val="left"/>
      <w:pPr>
        <w:ind w:left="425" w:hanging="425"/>
      </w:pPr>
      <w:rPr>
        <w:rFonts w:hint="default"/>
      </w:rPr>
    </w:lvl>
  </w:abstractNum>
  <w:abstractNum w:abstractNumId="2">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3">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4">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5">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6">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7">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F09E5E33"/>
    <w:multiLevelType w:val="singleLevel"/>
    <w:tmpl w:val="F09E5E33"/>
    <w:lvl w:ilvl="0" w:tentative="0">
      <w:start w:val="1"/>
      <w:numFmt w:val="decimal"/>
      <w:lvlText w:val="%1."/>
      <w:lvlJc w:val="left"/>
      <w:pPr>
        <w:ind w:left="425" w:hanging="425"/>
      </w:pPr>
      <w:rPr>
        <w:rFonts w:hint="default"/>
      </w:rPr>
    </w:lvl>
  </w:abstractNum>
  <w:abstractNum w:abstractNumId="10">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1">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2">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3">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4">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5">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5"/>
  </w:num>
  <w:num w:numId="2">
    <w:abstractNumId w:val="0"/>
  </w:num>
  <w:num w:numId="3">
    <w:abstractNumId w:val="5"/>
  </w:num>
  <w:num w:numId="4">
    <w:abstractNumId w:val="11"/>
  </w:num>
  <w:num w:numId="5">
    <w:abstractNumId w:val="13"/>
  </w:num>
  <w:num w:numId="6">
    <w:abstractNumId w:val="6"/>
  </w:num>
  <w:num w:numId="7">
    <w:abstractNumId w:val="4"/>
  </w:num>
  <w:num w:numId="8">
    <w:abstractNumId w:val="3"/>
  </w:num>
  <w:num w:numId="9">
    <w:abstractNumId w:val="12"/>
  </w:num>
  <w:num w:numId="10">
    <w:abstractNumId w:val="14"/>
  </w:num>
  <w:num w:numId="11">
    <w:abstractNumId w:val="1"/>
  </w:num>
  <w:num w:numId="12">
    <w:abstractNumId w:val="2"/>
  </w:num>
  <w:num w:numId="13">
    <w:abstractNumId w:val="8"/>
  </w:num>
  <w:num w:numId="14">
    <w:abstractNumId w:val="10"/>
  </w:num>
  <w:num w:numId="15">
    <w:abstractNumId w:val="7"/>
  </w:num>
  <w:num w:numId="16">
    <w:abstractNumId w:val="9"/>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