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95C6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0"/>
          <w:szCs w:val="30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0"/>
          <w:szCs w:val="30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附件1：</w:t>
      </w:r>
    </w:p>
    <w:p w14:paraId="130042E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四川省遂宁市安居职业高级中学校实训基地建设项目(老校区改造)报价表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900"/>
        <w:gridCol w:w="2280"/>
        <w:gridCol w:w="4860"/>
        <w:gridCol w:w="2115"/>
      </w:tblGrid>
      <w:tr w14:paraId="2C162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00" w:type="dxa"/>
            <w:noWrap w:val="0"/>
            <w:vAlign w:val="center"/>
          </w:tcPr>
          <w:p w14:paraId="18759F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900" w:type="dxa"/>
            <w:noWrap w:val="0"/>
            <w:vAlign w:val="center"/>
          </w:tcPr>
          <w:p w14:paraId="3BE649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工程</w:t>
            </w: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内容</w:t>
            </w:r>
          </w:p>
        </w:tc>
        <w:tc>
          <w:tcPr>
            <w:tcW w:w="2280" w:type="dxa"/>
            <w:noWrap w:val="0"/>
            <w:vAlign w:val="center"/>
          </w:tcPr>
          <w:p w14:paraId="0EE9B2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工程规模</w:t>
            </w:r>
          </w:p>
        </w:tc>
        <w:tc>
          <w:tcPr>
            <w:tcW w:w="4860" w:type="dxa"/>
            <w:noWrap w:val="0"/>
            <w:vAlign w:val="center"/>
          </w:tcPr>
          <w:p w14:paraId="75449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控制价</w:t>
            </w:r>
          </w:p>
        </w:tc>
        <w:tc>
          <w:tcPr>
            <w:tcW w:w="2115" w:type="dxa"/>
            <w:noWrap w:val="0"/>
            <w:vAlign w:val="center"/>
          </w:tcPr>
          <w:p w14:paraId="13BEB99E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default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下浮比例（%）</w:t>
            </w:r>
          </w:p>
        </w:tc>
      </w:tr>
      <w:tr w14:paraId="6BAF9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6" w:hRule="atLeast"/>
        </w:trPr>
        <w:tc>
          <w:tcPr>
            <w:tcW w:w="900" w:type="dxa"/>
            <w:noWrap w:val="0"/>
            <w:vAlign w:val="center"/>
          </w:tcPr>
          <w:p w14:paraId="6A9E68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3900" w:type="dxa"/>
            <w:noWrap w:val="0"/>
            <w:vAlign w:val="center"/>
          </w:tcPr>
          <w:p w14:paraId="4427C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消防设施工程专业分包</w:t>
            </w:r>
          </w:p>
        </w:tc>
        <w:tc>
          <w:tcPr>
            <w:tcW w:w="2280" w:type="dxa"/>
            <w:noWrap w:val="0"/>
            <w:vAlign w:val="center"/>
          </w:tcPr>
          <w:p w14:paraId="7CFD549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560" w:firstLineChars="200"/>
              <w:textAlignment w:val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详概况</w:t>
            </w:r>
          </w:p>
        </w:tc>
        <w:tc>
          <w:tcPr>
            <w:tcW w:w="4860" w:type="dxa"/>
            <w:noWrap w:val="0"/>
            <w:vAlign w:val="center"/>
          </w:tcPr>
          <w:p w14:paraId="7158B1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控制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价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为：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u w:val="singl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1224104.55元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清单详附表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总价下浮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15%作为最高限价，下浮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比例最</w:t>
            </w:r>
            <w:bookmarkStart w:id="0" w:name="_GoBack"/>
            <w:bookmarkEnd w:id="0"/>
            <w:r>
              <w:rPr>
                <w:rFonts w:hint="default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高的单位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中选，投标下浮率小于或等于15%视为废标。</w:t>
            </w:r>
          </w:p>
        </w:tc>
        <w:tc>
          <w:tcPr>
            <w:tcW w:w="2115" w:type="dxa"/>
            <w:noWrap w:val="0"/>
            <w:vAlign w:val="center"/>
          </w:tcPr>
          <w:p w14:paraId="41D3970C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</w:tbl>
    <w:p w14:paraId="677535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400" w:firstLineChars="30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</w:p>
    <w:p w14:paraId="73E1D6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960" w:firstLineChars="3200"/>
        <w:jc w:val="both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联系人及电话：</w:t>
      </w:r>
    </w:p>
    <w:p w14:paraId="17E297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eastAsia"/>
          <w:sz w:val="28"/>
          <w:szCs w:val="28"/>
        </w:rPr>
        <w:t xml:space="preserve">                                                                 报价单位：（盖章）</w:t>
      </w:r>
    </w:p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05C07D"/>
    <w:multiLevelType w:val="multilevel"/>
    <w:tmpl w:val="8605C07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pStyle w:val="2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